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2D57" w14:textId="77777777" w:rsidR="00B04A88" w:rsidRDefault="005E1514">
      <w:pPr>
        <w:spacing w:after="296" w:line="259" w:lineRule="auto"/>
        <w:ind w:left="0" w:right="272" w:firstLine="0"/>
        <w:jc w:val="center"/>
        <w:rPr>
          <w:sz w:val="32"/>
          <w:szCs w:val="32"/>
        </w:rPr>
      </w:pPr>
      <w:r>
        <w:rPr>
          <w:b/>
          <w:sz w:val="32"/>
          <w:szCs w:val="32"/>
        </w:rPr>
        <w:t>Silver Falls School District</w:t>
      </w:r>
    </w:p>
    <w:p w14:paraId="34642C7C" w14:textId="77777777" w:rsidR="00B04A88" w:rsidRDefault="005E1514">
      <w:pPr>
        <w:spacing w:after="274" w:line="259" w:lineRule="auto"/>
        <w:ind w:left="0" w:right="256" w:firstLine="0"/>
        <w:jc w:val="center"/>
        <w:rPr>
          <w:b/>
          <w:sz w:val="28"/>
          <w:szCs w:val="28"/>
        </w:rPr>
      </w:pPr>
      <w:r>
        <w:rPr>
          <w:b/>
          <w:sz w:val="28"/>
          <w:szCs w:val="28"/>
        </w:rPr>
        <w:t>Network Equipment Solutions</w:t>
      </w:r>
    </w:p>
    <w:p w14:paraId="020B6EA3" w14:textId="77777777" w:rsidR="00B04A88" w:rsidRDefault="005E1514">
      <w:pPr>
        <w:spacing w:after="10" w:line="250" w:lineRule="auto"/>
        <w:ind w:left="2880" w:right="1506" w:firstLine="0"/>
        <w:rPr>
          <w:b/>
        </w:rPr>
      </w:pPr>
      <w:r>
        <w:rPr>
          <w:b/>
        </w:rPr>
        <w:t>SUBMIT PROPOSAL TO:</w:t>
      </w:r>
    </w:p>
    <w:p w14:paraId="0BA011AD" w14:textId="77777777" w:rsidR="00B04A88" w:rsidRDefault="005E1514">
      <w:pPr>
        <w:spacing w:after="0" w:line="259" w:lineRule="auto"/>
        <w:ind w:left="2880" w:firstLine="0"/>
      </w:pPr>
      <w:r>
        <w:t>Silver Falls School District</w:t>
      </w:r>
    </w:p>
    <w:p w14:paraId="16D2BEA5" w14:textId="77777777" w:rsidR="00B04A88" w:rsidRDefault="005E1514">
      <w:pPr>
        <w:spacing w:after="0" w:line="259" w:lineRule="auto"/>
        <w:ind w:left="2880" w:firstLine="0"/>
      </w:pPr>
      <w:r>
        <w:t xml:space="preserve">ATTN: </w:t>
      </w:r>
      <w:r>
        <w:rPr>
          <w:highlight w:val="white"/>
        </w:rPr>
        <w:t>Brett Milliken</w:t>
      </w:r>
      <w:r>
        <w:tab/>
      </w:r>
    </w:p>
    <w:p w14:paraId="2DE86B2B" w14:textId="77777777" w:rsidR="00B04A88" w:rsidRDefault="005E1514">
      <w:pPr>
        <w:spacing w:after="0" w:line="259" w:lineRule="auto"/>
        <w:ind w:left="2880" w:firstLine="0"/>
      </w:pPr>
      <w:r>
        <w:t xml:space="preserve">1456 Pine Street, </w:t>
      </w:r>
    </w:p>
    <w:p w14:paraId="486413CB" w14:textId="77777777" w:rsidR="00B04A88" w:rsidRDefault="005E1514">
      <w:pPr>
        <w:spacing w:after="0" w:line="259" w:lineRule="auto"/>
        <w:ind w:left="2880" w:firstLine="0"/>
      </w:pPr>
      <w:r>
        <w:t>Silverton, OR 97381</w:t>
      </w:r>
    </w:p>
    <w:p w14:paraId="425839A9" w14:textId="77777777" w:rsidR="00B04A88" w:rsidRDefault="005E1514">
      <w:pPr>
        <w:spacing w:after="0" w:line="259" w:lineRule="auto"/>
        <w:ind w:left="2880" w:firstLine="0"/>
      </w:pPr>
      <w:r>
        <w:t>(503) 873-6331</w:t>
      </w:r>
      <w:r>
        <w:br/>
      </w:r>
      <w:hyperlink r:id="rId8">
        <w:r>
          <w:rPr>
            <w:color w:val="0000FF"/>
            <w:u w:val="single"/>
          </w:rPr>
          <w:t>erate@silverfalls.k12.or.us</w:t>
        </w:r>
      </w:hyperlink>
      <w:r>
        <w:t xml:space="preserve"> </w:t>
      </w:r>
    </w:p>
    <w:p w14:paraId="4DA8E18F" w14:textId="77777777" w:rsidR="00B04A88" w:rsidRDefault="00B04A88">
      <w:pPr>
        <w:spacing w:after="0" w:line="259" w:lineRule="auto"/>
        <w:ind w:left="2880" w:firstLine="0"/>
      </w:pPr>
    </w:p>
    <w:p w14:paraId="62E20AA1" w14:textId="77777777" w:rsidR="00B04A88" w:rsidRDefault="005E1514">
      <w:pPr>
        <w:spacing w:after="0" w:line="259" w:lineRule="auto"/>
        <w:ind w:left="2880" w:firstLine="0"/>
      </w:pPr>
      <w:r>
        <w:rPr>
          <w:b/>
        </w:rPr>
        <w:t>BID SUBMISSION DEADLINE:</w:t>
      </w:r>
      <w:r>
        <w:t xml:space="preserve"> </w:t>
      </w:r>
    </w:p>
    <w:p w14:paraId="14BEC0F8" w14:textId="6678C68A" w:rsidR="00B04A88" w:rsidRDefault="005E1514">
      <w:pPr>
        <w:spacing w:after="0" w:line="259" w:lineRule="auto"/>
        <w:ind w:left="720" w:firstLine="720"/>
        <w:rPr>
          <w:b/>
        </w:rPr>
      </w:pPr>
      <w:r w:rsidRPr="00AC205A">
        <w:rPr>
          <w:b/>
          <w:highlight w:val="cyan"/>
        </w:rPr>
        <w:t xml:space="preserve">March </w:t>
      </w:r>
      <w:r w:rsidR="00AC205A" w:rsidRPr="00AC205A">
        <w:rPr>
          <w:b/>
          <w:highlight w:val="cyan"/>
        </w:rPr>
        <w:t>1st</w:t>
      </w:r>
      <w:r w:rsidRPr="00AC205A">
        <w:rPr>
          <w:b/>
          <w:highlight w:val="cyan"/>
        </w:rPr>
        <w:t>, 202</w:t>
      </w:r>
      <w:r w:rsidR="00AC205A" w:rsidRPr="00AC205A">
        <w:rPr>
          <w:b/>
          <w:highlight w:val="cyan"/>
        </w:rPr>
        <w:t>4</w:t>
      </w:r>
      <w:r w:rsidRPr="00AC205A">
        <w:rPr>
          <w:b/>
          <w:highlight w:val="cyan"/>
        </w:rPr>
        <w:t xml:space="preserve">, at 4 p.m. </w:t>
      </w:r>
      <w:r>
        <w:rPr>
          <w:b/>
          <w:highlight w:val="yellow"/>
        </w:rPr>
        <w:t>Pacific Standard Time</w:t>
      </w:r>
      <w:r>
        <w:rPr>
          <w:b/>
        </w:rPr>
        <w:t xml:space="preserve"> </w:t>
      </w:r>
    </w:p>
    <w:p w14:paraId="74FDB4F2" w14:textId="77777777" w:rsidR="00B04A88" w:rsidRDefault="00B04A88">
      <w:pPr>
        <w:spacing w:after="0" w:line="259" w:lineRule="auto"/>
        <w:ind w:left="2880" w:firstLine="0"/>
      </w:pPr>
    </w:p>
    <w:p w14:paraId="4413935C" w14:textId="77777777" w:rsidR="00B04A88" w:rsidRDefault="00B04A88">
      <w:pPr>
        <w:spacing w:after="0" w:line="259" w:lineRule="auto"/>
        <w:ind w:left="2880" w:firstLine="0"/>
      </w:pPr>
    </w:p>
    <w:p w14:paraId="3E091C8B" w14:textId="77777777" w:rsidR="00B04A88" w:rsidRDefault="005E1514">
      <w:pPr>
        <w:spacing w:after="46" w:line="259" w:lineRule="auto"/>
        <w:ind w:left="331" w:firstLine="0"/>
      </w:pPr>
      <w:r>
        <w:rPr>
          <w:noProof/>
        </w:rPr>
        <mc:AlternateContent>
          <mc:Choice Requires="wpg">
            <w:drawing>
              <wp:inline distT="0" distB="0" distL="0" distR="0" wp14:anchorId="5EADB03B" wp14:editId="484EC0D1">
                <wp:extent cx="5522976" cy="18288"/>
                <wp:effectExtent l="0" t="0" r="0" b="0"/>
                <wp:docPr id="2490" name="Group 2490"/>
                <wp:cNvGraphicFramePr/>
                <a:graphic xmlns:a="http://schemas.openxmlformats.org/drawingml/2006/main">
                  <a:graphicData uri="http://schemas.microsoft.com/office/word/2010/wordprocessingGroup">
                    <wpg:wgp>
                      <wpg:cNvGrpSpPr/>
                      <wpg:grpSpPr>
                        <a:xfrm>
                          <a:off x="0" y="0"/>
                          <a:ext cx="5522976" cy="18288"/>
                          <a:chOff x="2584512" y="3770856"/>
                          <a:chExt cx="5522976" cy="18288"/>
                        </a:xfrm>
                      </wpg:grpSpPr>
                      <wpg:grpSp>
                        <wpg:cNvPr id="1" name="Group 1"/>
                        <wpg:cNvGrpSpPr/>
                        <wpg:grpSpPr>
                          <a:xfrm>
                            <a:off x="2584512" y="3770856"/>
                            <a:ext cx="5522976" cy="18288"/>
                            <a:chOff x="0" y="0"/>
                            <a:chExt cx="5522976" cy="18288"/>
                          </a:xfrm>
                        </wpg:grpSpPr>
                        <wps:wsp>
                          <wps:cNvPr id="2" name="Rectangle 2"/>
                          <wps:cNvSpPr/>
                          <wps:spPr>
                            <a:xfrm>
                              <a:off x="0" y="0"/>
                              <a:ext cx="5522975" cy="18275"/>
                            </a:xfrm>
                            <a:prstGeom prst="rect">
                              <a:avLst/>
                            </a:prstGeom>
                            <a:noFill/>
                            <a:ln>
                              <a:noFill/>
                            </a:ln>
                          </wps:spPr>
                          <wps:txbx>
                            <w:txbxContent>
                              <w:p w14:paraId="6CBA93C6" w14:textId="77777777" w:rsidR="00B04A88" w:rsidRDefault="00B04A88">
                                <w:pPr>
                                  <w:spacing w:after="0" w:line="240" w:lineRule="auto"/>
                                  <w:ind w:left="0" w:firstLine="0"/>
                                  <w:textDirection w:val="btLr"/>
                                </w:pPr>
                              </w:p>
                            </w:txbxContent>
                          </wps:txbx>
                          <wps:bodyPr spcFirstLastPara="1" wrap="square" lIns="91425" tIns="91425" rIns="91425" bIns="91425" anchor="ctr" anchorCtr="0">
                            <a:noAutofit/>
                          </wps:bodyPr>
                        </wps:wsp>
                        <wps:wsp>
                          <wps:cNvPr id="3" name="Freeform 3"/>
                          <wps:cNvSpPr/>
                          <wps:spPr>
                            <a:xfrm>
                              <a:off x="0" y="0"/>
                              <a:ext cx="5522976" cy="18288"/>
                            </a:xfrm>
                            <a:custGeom>
                              <a:avLst/>
                              <a:gdLst/>
                              <a:ahLst/>
                              <a:cxnLst/>
                              <a:rect l="l" t="t" r="r" b="b"/>
                              <a:pathLst>
                                <a:path w="5522976" h="18288" extrusionOk="0">
                                  <a:moveTo>
                                    <a:pt x="0" y="0"/>
                                  </a:moveTo>
                                  <a:lnTo>
                                    <a:pt x="5522976" y="0"/>
                                  </a:lnTo>
                                  <a:lnTo>
                                    <a:pt x="5522976"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5EADB03B" id="Group 2490" o:spid="_x0000_s1026" style="width:434.9pt;height:1.45pt;mso-position-horizontal-relative:char;mso-position-vertical-relative:line" coordorigin="25845,37708"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">
                <v:group id="Group 1" o:spid="_x0000_s1027" style="position:absolute;left:25845;top:37708;width:55229;height:183" coordsize="5522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5229;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CBA93C6" w14:textId="77777777" w:rsidR="00B04A88" w:rsidRDefault="00B04A88">
                          <w:pPr>
                            <w:spacing w:after="0" w:line="240" w:lineRule="auto"/>
                            <w:ind w:left="0" w:firstLine="0"/>
                            <w:textDirection w:val="btLr"/>
                          </w:pPr>
                        </w:p>
                      </w:txbxContent>
                    </v:textbox>
                  </v:rect>
                  <v:shape id="Freeform 3" o:spid="_x0000_s1029" style="position:absolute;width:55229;height:182;visibility:visible;mso-wrap-style:square;v-text-anchor:middle"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" path="m,l5522976,r,18288l,18288,,e" fillcolor="black" stroked="f">
                    <v:path arrowok="t" o:extrusionok="f"/>
                  </v:shape>
                </v:group>
                <w10:anchorlock/>
              </v:group>
            </w:pict>
          </mc:Fallback>
        </mc:AlternateContent>
      </w:r>
    </w:p>
    <w:p w14:paraId="7E98DE74" w14:textId="77777777" w:rsidR="00B04A88" w:rsidRDefault="005E1514">
      <w:pPr>
        <w:tabs>
          <w:tab w:val="center" w:pos="1334"/>
          <w:tab w:val="center" w:pos="3680"/>
          <w:tab w:val="center" w:pos="4887"/>
          <w:tab w:val="center" w:pos="6400"/>
          <w:tab w:val="center" w:pos="8047"/>
        </w:tabs>
        <w:spacing w:after="542" w:line="250" w:lineRule="auto"/>
        <w:ind w:left="0" w:firstLine="0"/>
      </w:pPr>
      <w:r>
        <w:tab/>
        <w:t xml:space="preserve">Bidder (Company) </w:t>
      </w:r>
      <w:r>
        <w:tab/>
        <w:t xml:space="preserve">Address </w:t>
      </w:r>
      <w:r>
        <w:tab/>
        <w:t xml:space="preserve">City </w:t>
      </w:r>
      <w:r>
        <w:tab/>
        <w:t xml:space="preserve">State </w:t>
      </w:r>
      <w:r>
        <w:tab/>
        <w:t xml:space="preserve">Zip Code </w:t>
      </w:r>
    </w:p>
    <w:p w14:paraId="499AFFCD" w14:textId="77777777" w:rsidR="00B04A88" w:rsidRDefault="005E1514">
      <w:pPr>
        <w:spacing w:after="10" w:line="250" w:lineRule="auto"/>
        <w:ind w:left="1075" w:right="1506" w:firstLine="0"/>
      </w:pPr>
      <w:r>
        <w:t xml:space="preserve">_____________________________________________ </w:t>
      </w:r>
    </w:p>
    <w:p w14:paraId="5A543875" w14:textId="77777777" w:rsidR="00B04A88" w:rsidRDefault="005E1514">
      <w:pPr>
        <w:spacing w:after="542" w:line="250" w:lineRule="auto"/>
        <w:ind w:left="1075" w:right="2230" w:firstLine="0"/>
      </w:pPr>
      <w:r>
        <w:t xml:space="preserve">Signature of member authorized to sign for firm (Title). </w:t>
      </w:r>
      <w:r>
        <w:br/>
        <w:t xml:space="preserve">(I certify that I have proposed according to the specifications and conditions of this proposal). </w:t>
      </w:r>
    </w:p>
    <w:p w14:paraId="6C06CA4D" w14:textId="77777777" w:rsidR="00B04A88" w:rsidRDefault="005E1514">
      <w:pPr>
        <w:spacing w:after="542" w:line="250" w:lineRule="auto"/>
        <w:ind w:left="1075" w:right="1506" w:firstLine="0"/>
      </w:pPr>
      <w:r>
        <w:t xml:space="preserve">_____________________________________________ </w:t>
      </w:r>
      <w:r>
        <w:br/>
        <w:t xml:space="preserve">Doing business under the Company Name of: </w:t>
      </w:r>
    </w:p>
    <w:p w14:paraId="5B8BD818" w14:textId="77777777" w:rsidR="00B04A88" w:rsidRDefault="005E1514">
      <w:pPr>
        <w:spacing w:after="542" w:line="250" w:lineRule="auto"/>
        <w:ind w:left="1075" w:right="1506" w:firstLine="0"/>
      </w:pPr>
      <w:r>
        <w:t xml:space="preserve">_____________________________________________ Telephone Number with area code </w:t>
      </w:r>
    </w:p>
    <w:p w14:paraId="1EEDEEC2" w14:textId="77777777" w:rsidR="00B04A88" w:rsidRDefault="005E1514">
      <w:pPr>
        <w:spacing w:after="192" w:line="305" w:lineRule="auto"/>
        <w:ind w:left="370" w:right="1947" w:firstLine="0"/>
      </w:pPr>
      <w:r>
        <w:t>Proposal must be submitted with subject line:</w:t>
      </w:r>
      <w:r>
        <w:br/>
      </w:r>
      <w:r>
        <w:rPr>
          <w:b/>
        </w:rPr>
        <w:t>Proposal – Network Equipment Solutions</w:t>
      </w:r>
    </w:p>
    <w:p w14:paraId="28ED3A61" w14:textId="77777777" w:rsidR="00B04A88" w:rsidRDefault="005E1514">
      <w:pPr>
        <w:spacing w:after="542" w:line="250" w:lineRule="auto"/>
        <w:ind w:left="370" w:right="1506" w:firstLine="0"/>
      </w:pPr>
      <w:r>
        <w:t>Include Vendor Contact name and address.</w:t>
      </w:r>
    </w:p>
    <w:p w14:paraId="2FE57408" w14:textId="77777777" w:rsidR="00B04A88" w:rsidRDefault="005E1514">
      <w:pPr>
        <w:spacing w:after="160" w:line="259" w:lineRule="auto"/>
        <w:ind w:left="0" w:firstLine="0"/>
      </w:pPr>
      <w:r>
        <w:br w:type="page"/>
      </w:r>
    </w:p>
    <w:p w14:paraId="10A113C0" w14:textId="77777777" w:rsidR="00B04A88" w:rsidRDefault="005E1514">
      <w:pPr>
        <w:spacing w:after="330" w:line="265" w:lineRule="auto"/>
        <w:ind w:left="84" w:right="1" w:firstLine="0"/>
        <w:jc w:val="center"/>
        <w:rPr>
          <w:sz w:val="28"/>
          <w:szCs w:val="28"/>
        </w:rPr>
      </w:pPr>
      <w:r>
        <w:rPr>
          <w:b/>
          <w:sz w:val="28"/>
          <w:szCs w:val="28"/>
        </w:rPr>
        <w:lastRenderedPageBreak/>
        <w:t xml:space="preserve">SUPPORTING DOCUMENTATION </w:t>
      </w:r>
    </w:p>
    <w:p w14:paraId="0E7F731C" w14:textId="77777777" w:rsidR="00B04A88" w:rsidRDefault="005E1514">
      <w:pPr>
        <w:spacing w:after="649" w:line="265" w:lineRule="auto"/>
        <w:ind w:left="84" w:firstLine="0"/>
        <w:jc w:val="center"/>
        <w:rPr>
          <w:sz w:val="28"/>
          <w:szCs w:val="28"/>
        </w:rPr>
      </w:pPr>
      <w:r>
        <w:rPr>
          <w:b/>
          <w:sz w:val="28"/>
          <w:szCs w:val="28"/>
        </w:rPr>
        <w:t>Network Equipment</w:t>
      </w:r>
    </w:p>
    <w:p w14:paraId="4A6FC227" w14:textId="77777777" w:rsidR="00B04A88" w:rsidRDefault="005E1514">
      <w:pPr>
        <w:pStyle w:val="Heading1"/>
        <w:spacing w:after="105"/>
        <w:ind w:left="84" w:right="1" w:firstLine="73"/>
        <w:rPr>
          <w:u w:val="single"/>
        </w:rPr>
      </w:pPr>
      <w:r>
        <w:rPr>
          <w:u w:val="single"/>
        </w:rPr>
        <w:t>TABLE OF CONTENTS</w:t>
      </w:r>
    </w:p>
    <w:tbl>
      <w:tblPr>
        <w:tblStyle w:val="a"/>
        <w:tblW w:w="6815" w:type="dxa"/>
        <w:jc w:val="center"/>
        <w:tblLayout w:type="fixed"/>
        <w:tblLook w:val="0400" w:firstRow="0" w:lastRow="0" w:firstColumn="0" w:lastColumn="0" w:noHBand="0" w:noVBand="1"/>
      </w:tblPr>
      <w:tblGrid>
        <w:gridCol w:w="1440"/>
        <w:gridCol w:w="5375"/>
      </w:tblGrid>
      <w:tr w:rsidR="00B04A88" w14:paraId="509D3509" w14:textId="77777777">
        <w:trPr>
          <w:trHeight w:val="430"/>
          <w:jc w:val="center"/>
        </w:trPr>
        <w:tc>
          <w:tcPr>
            <w:tcW w:w="1440" w:type="dxa"/>
            <w:tcBorders>
              <w:top w:val="nil"/>
              <w:left w:val="nil"/>
              <w:bottom w:val="nil"/>
              <w:right w:val="nil"/>
            </w:tcBorders>
          </w:tcPr>
          <w:p w14:paraId="3C7828DC" w14:textId="77777777" w:rsidR="00B04A88" w:rsidRDefault="005E1514">
            <w:pPr>
              <w:spacing w:line="259" w:lineRule="auto"/>
              <w:ind w:left="0" w:firstLine="0"/>
            </w:pPr>
            <w:r>
              <w:rPr>
                <w:b/>
              </w:rPr>
              <w:t xml:space="preserve">Part I </w:t>
            </w:r>
          </w:p>
        </w:tc>
        <w:tc>
          <w:tcPr>
            <w:tcW w:w="5375" w:type="dxa"/>
            <w:tcBorders>
              <w:top w:val="nil"/>
              <w:left w:val="nil"/>
              <w:bottom w:val="nil"/>
              <w:right w:val="nil"/>
            </w:tcBorders>
          </w:tcPr>
          <w:p w14:paraId="68C45FD4" w14:textId="77777777" w:rsidR="00B04A88" w:rsidRDefault="005E1514">
            <w:pPr>
              <w:spacing w:line="259" w:lineRule="auto"/>
              <w:ind w:left="1" w:firstLine="0"/>
            </w:pPr>
            <w:r>
              <w:rPr>
                <w:b/>
              </w:rPr>
              <w:t xml:space="preserve">GENERAL INFORMATION </w:t>
            </w:r>
          </w:p>
        </w:tc>
      </w:tr>
      <w:tr w:rsidR="00B04A88" w14:paraId="238330CA" w14:textId="77777777">
        <w:trPr>
          <w:trHeight w:val="635"/>
          <w:jc w:val="center"/>
        </w:trPr>
        <w:tc>
          <w:tcPr>
            <w:tcW w:w="1440" w:type="dxa"/>
            <w:tcBorders>
              <w:top w:val="nil"/>
              <w:left w:val="nil"/>
              <w:bottom w:val="nil"/>
              <w:right w:val="nil"/>
            </w:tcBorders>
            <w:vAlign w:val="center"/>
          </w:tcPr>
          <w:p w14:paraId="3A087F20" w14:textId="77777777" w:rsidR="00B04A88" w:rsidRDefault="005E1514">
            <w:pPr>
              <w:spacing w:line="259" w:lineRule="auto"/>
              <w:ind w:left="0" w:firstLine="0"/>
            </w:pPr>
            <w:r>
              <w:rPr>
                <w:b/>
              </w:rPr>
              <w:t xml:space="preserve">Part II </w:t>
            </w:r>
          </w:p>
        </w:tc>
        <w:tc>
          <w:tcPr>
            <w:tcW w:w="5375" w:type="dxa"/>
            <w:tcBorders>
              <w:top w:val="nil"/>
              <w:left w:val="nil"/>
              <w:bottom w:val="nil"/>
              <w:right w:val="nil"/>
            </w:tcBorders>
            <w:vAlign w:val="center"/>
          </w:tcPr>
          <w:p w14:paraId="7301B4D4" w14:textId="77777777" w:rsidR="00B04A88" w:rsidRDefault="005E1514">
            <w:pPr>
              <w:spacing w:line="259" w:lineRule="auto"/>
              <w:ind w:left="0" w:firstLine="0"/>
            </w:pPr>
            <w:r>
              <w:rPr>
                <w:b/>
              </w:rPr>
              <w:t xml:space="preserve">REQUIRED INFORMATION </w:t>
            </w:r>
          </w:p>
        </w:tc>
      </w:tr>
      <w:tr w:rsidR="00B04A88" w14:paraId="66346E52" w14:textId="77777777">
        <w:trPr>
          <w:trHeight w:val="635"/>
          <w:jc w:val="center"/>
        </w:trPr>
        <w:tc>
          <w:tcPr>
            <w:tcW w:w="1440" w:type="dxa"/>
            <w:tcBorders>
              <w:top w:val="nil"/>
              <w:left w:val="nil"/>
              <w:bottom w:val="nil"/>
              <w:right w:val="nil"/>
            </w:tcBorders>
            <w:vAlign w:val="center"/>
          </w:tcPr>
          <w:p w14:paraId="7AF36DF3" w14:textId="77777777" w:rsidR="00B04A88" w:rsidRDefault="005E1514">
            <w:pPr>
              <w:spacing w:line="259" w:lineRule="auto"/>
              <w:ind w:left="0" w:firstLine="0"/>
            </w:pPr>
            <w:r>
              <w:rPr>
                <w:b/>
              </w:rPr>
              <w:t xml:space="preserve">Part III </w:t>
            </w:r>
          </w:p>
        </w:tc>
        <w:tc>
          <w:tcPr>
            <w:tcW w:w="5375" w:type="dxa"/>
            <w:tcBorders>
              <w:top w:val="nil"/>
              <w:left w:val="nil"/>
              <w:bottom w:val="nil"/>
              <w:right w:val="nil"/>
            </w:tcBorders>
            <w:vAlign w:val="center"/>
          </w:tcPr>
          <w:p w14:paraId="67CE08CC" w14:textId="77777777" w:rsidR="00B04A88" w:rsidRDefault="005E1514">
            <w:pPr>
              <w:spacing w:line="259" w:lineRule="auto"/>
              <w:ind w:left="0" w:firstLine="0"/>
            </w:pPr>
            <w:r>
              <w:rPr>
                <w:b/>
              </w:rPr>
              <w:t xml:space="preserve">CRITERIA FOR SELECTION </w:t>
            </w:r>
          </w:p>
        </w:tc>
      </w:tr>
      <w:tr w:rsidR="00B04A88" w14:paraId="54FFFEB8" w14:textId="77777777">
        <w:trPr>
          <w:trHeight w:val="430"/>
          <w:jc w:val="center"/>
        </w:trPr>
        <w:tc>
          <w:tcPr>
            <w:tcW w:w="1440" w:type="dxa"/>
            <w:tcBorders>
              <w:top w:val="nil"/>
              <w:left w:val="nil"/>
              <w:bottom w:val="nil"/>
              <w:right w:val="nil"/>
            </w:tcBorders>
            <w:vAlign w:val="bottom"/>
          </w:tcPr>
          <w:p w14:paraId="0479356E" w14:textId="77777777" w:rsidR="00B04A88" w:rsidRDefault="005E1514">
            <w:pPr>
              <w:spacing w:line="259" w:lineRule="auto"/>
              <w:ind w:left="0" w:firstLine="0"/>
            </w:pPr>
            <w:r>
              <w:rPr>
                <w:b/>
              </w:rPr>
              <w:t xml:space="preserve">Part IV </w:t>
            </w:r>
          </w:p>
        </w:tc>
        <w:tc>
          <w:tcPr>
            <w:tcW w:w="5375" w:type="dxa"/>
            <w:tcBorders>
              <w:top w:val="nil"/>
              <w:left w:val="nil"/>
              <w:bottom w:val="nil"/>
              <w:right w:val="nil"/>
            </w:tcBorders>
            <w:vAlign w:val="bottom"/>
          </w:tcPr>
          <w:p w14:paraId="3903772E" w14:textId="77777777" w:rsidR="00B04A88" w:rsidRDefault="005E1514">
            <w:pPr>
              <w:spacing w:line="259" w:lineRule="auto"/>
              <w:ind w:left="0" w:firstLine="0"/>
              <w:jc w:val="both"/>
            </w:pPr>
            <w:r>
              <w:rPr>
                <w:b/>
              </w:rPr>
              <w:t>FUNDING AND TIMELINE</w:t>
            </w:r>
          </w:p>
        </w:tc>
      </w:tr>
      <w:tr w:rsidR="00B04A88" w14:paraId="28EBE17F" w14:textId="77777777">
        <w:trPr>
          <w:trHeight w:val="430"/>
          <w:jc w:val="center"/>
        </w:trPr>
        <w:tc>
          <w:tcPr>
            <w:tcW w:w="1440" w:type="dxa"/>
            <w:tcBorders>
              <w:top w:val="nil"/>
              <w:left w:val="nil"/>
              <w:bottom w:val="nil"/>
              <w:right w:val="nil"/>
            </w:tcBorders>
            <w:vAlign w:val="bottom"/>
          </w:tcPr>
          <w:p w14:paraId="7BDBBEF8" w14:textId="77777777" w:rsidR="00B04A88" w:rsidRDefault="00B04A88">
            <w:pPr>
              <w:spacing w:line="259" w:lineRule="auto"/>
              <w:ind w:left="0" w:firstLine="0"/>
              <w:rPr>
                <w:b/>
              </w:rPr>
            </w:pPr>
          </w:p>
        </w:tc>
        <w:tc>
          <w:tcPr>
            <w:tcW w:w="5375" w:type="dxa"/>
            <w:tcBorders>
              <w:top w:val="nil"/>
              <w:left w:val="nil"/>
              <w:bottom w:val="nil"/>
              <w:right w:val="nil"/>
            </w:tcBorders>
            <w:vAlign w:val="bottom"/>
          </w:tcPr>
          <w:p w14:paraId="383A200A" w14:textId="77777777" w:rsidR="00B04A88" w:rsidRDefault="005E1514">
            <w:pPr>
              <w:spacing w:line="259" w:lineRule="auto"/>
              <w:ind w:left="0" w:firstLine="0"/>
              <w:jc w:val="both"/>
              <w:rPr>
                <w:b/>
              </w:rPr>
            </w:pPr>
            <w:r>
              <w:rPr>
                <w:b/>
              </w:rPr>
              <w:br/>
            </w:r>
          </w:p>
        </w:tc>
      </w:tr>
    </w:tbl>
    <w:p w14:paraId="7C369203" w14:textId="77777777" w:rsidR="00B04A88" w:rsidRDefault="005E1514">
      <w:pPr>
        <w:pStyle w:val="Heading1"/>
        <w:rPr>
          <w:u w:val="single"/>
        </w:rPr>
      </w:pPr>
      <w:r>
        <w:rPr>
          <w:u w:val="single"/>
        </w:rPr>
        <w:t>PART I - GENERAL INFORMATION</w:t>
      </w:r>
    </w:p>
    <w:p w14:paraId="548C64DD" w14:textId="77777777" w:rsidR="00B04A88" w:rsidRDefault="005E1514">
      <w:pPr>
        <w:ind w:left="-5" w:right="3" w:firstLine="0"/>
      </w:pPr>
      <w:r>
        <w:rPr>
          <w:b/>
        </w:rPr>
        <w:t xml:space="preserve">I-1. Purpose. </w:t>
      </w:r>
      <w:r>
        <w:t>This request for proposals provides interested parties with enough information to enable them to prepare and submit proposals for consideration by Silver Falls School District to satisfy the District’s need for networking equipment.</w:t>
      </w:r>
    </w:p>
    <w:p w14:paraId="29066228" w14:textId="77777777" w:rsidR="00B04A88" w:rsidRDefault="005E1514">
      <w:r>
        <w:rPr>
          <w:b/>
        </w:rPr>
        <w:t xml:space="preserve">I-2. Issuing Office. </w:t>
      </w:r>
      <w:r>
        <w:t xml:space="preserve">This supporting documentation is issued by Silver Falls School District, ATTN: </w:t>
      </w:r>
      <w:r>
        <w:rPr>
          <w:highlight w:val="white"/>
        </w:rPr>
        <w:t>Brett Milliken</w:t>
      </w:r>
      <w:r>
        <w:t xml:space="preserve">,1456 Pine Street, Silverton, OR 97381, (503) 873-6331, </w:t>
      </w:r>
      <w:hyperlink r:id="rId9">
        <w:r>
          <w:rPr>
            <w:color w:val="0000FF"/>
            <w:u w:val="single"/>
          </w:rPr>
          <w:t>erate@silverfalls.k12.or.us</w:t>
        </w:r>
      </w:hyperlink>
      <w:r>
        <w:t>. Email is the preferred method of communication.</w:t>
      </w:r>
    </w:p>
    <w:p w14:paraId="74F05346" w14:textId="77777777" w:rsidR="00B04A88" w:rsidRDefault="005E1514">
      <w:pPr>
        <w:ind w:left="-5" w:right="3" w:firstLine="0"/>
      </w:pPr>
      <w:r>
        <w:rPr>
          <w:b/>
        </w:rPr>
        <w:t xml:space="preserve">I-3. Scope. </w:t>
      </w:r>
      <w:r>
        <w:t>This supporting documentation contains instructions governing the proposals to be submitted and the materials to be included therein; a description of the service to be provided; requirements which must be met to be eligible for consideration.</w:t>
      </w:r>
    </w:p>
    <w:p w14:paraId="42B78DDB" w14:textId="77777777" w:rsidR="00B04A88" w:rsidRDefault="005E1514">
      <w:pPr>
        <w:spacing w:after="160" w:line="259" w:lineRule="auto"/>
        <w:ind w:left="0" w:firstLine="0"/>
      </w:pPr>
      <w:r>
        <w:br w:type="page"/>
      </w:r>
    </w:p>
    <w:p w14:paraId="16C9D3EB" w14:textId="77777777" w:rsidR="00B04A88" w:rsidRDefault="005E1514">
      <w:pPr>
        <w:pStyle w:val="Heading1"/>
        <w:ind w:left="84" w:right="1" w:firstLine="73"/>
        <w:rPr>
          <w:u w:val="single"/>
        </w:rPr>
      </w:pPr>
      <w:r>
        <w:rPr>
          <w:u w:val="single"/>
        </w:rPr>
        <w:lastRenderedPageBreak/>
        <w:t>PART II - REQUIRED INFORMATION</w:t>
      </w:r>
    </w:p>
    <w:p w14:paraId="57D38B2D" w14:textId="77777777" w:rsidR="00B04A88" w:rsidRDefault="005E1514">
      <w:pPr>
        <w:spacing w:after="336" w:line="259" w:lineRule="auto"/>
        <w:ind w:left="-5" w:firstLine="0"/>
      </w:pPr>
      <w:r>
        <w:rPr>
          <w:b/>
        </w:rPr>
        <w:t>II-1 SCOPE AND DESCRIPTION</w:t>
      </w:r>
    </w:p>
    <w:p w14:paraId="698F2F03" w14:textId="77777777" w:rsidR="00B04A88" w:rsidRDefault="005E1514">
      <w:pPr>
        <w:ind w:left="-5" w:right="3" w:firstLine="0"/>
        <w:rPr>
          <w:b/>
        </w:rPr>
      </w:pPr>
      <w:r>
        <w:t xml:space="preserve">Silver Falls School District seeks to upgrade network equipment in multiple schools. A detailed list is below. </w:t>
      </w:r>
      <w:r>
        <w:rPr>
          <w:b/>
        </w:rPr>
        <w:t>This is an equipment bid only – no installation services are sought.</w:t>
      </w:r>
    </w:p>
    <w:p w14:paraId="350B74FC" w14:textId="77777777" w:rsidR="00B04A88" w:rsidRDefault="005E1514">
      <w:pPr>
        <w:ind w:left="-5" w:right="3" w:firstLine="0"/>
      </w:pPr>
      <w:r>
        <w:t xml:space="preserve">Proposals should include equipment and all necessary software, licensing, maintenance, and shipping costs and must be priced out on their own line items within the bid. All equipment supplied must be new and have a minimum </w:t>
      </w:r>
      <w:r>
        <w:rPr>
          <w:b/>
        </w:rPr>
        <w:t>1-year</w:t>
      </w:r>
      <w:r>
        <w:t xml:space="preserve"> </w:t>
      </w:r>
      <w:r>
        <w:rPr>
          <w:b/>
        </w:rPr>
        <w:t>warranty</w:t>
      </w:r>
      <w:r>
        <w:t xml:space="preserve"> (preference given to longer warranties). Any </w:t>
      </w:r>
      <w:r>
        <w:rPr>
          <w:b/>
        </w:rPr>
        <w:t>software licensing</w:t>
      </w:r>
      <w:r>
        <w:t xml:space="preserve"> required as part of the bid should be included at a </w:t>
      </w:r>
      <w:r>
        <w:rPr>
          <w:b/>
        </w:rPr>
        <w:t>5-year</w:t>
      </w:r>
      <w:r>
        <w:t xml:space="preserve"> </w:t>
      </w:r>
      <w:r>
        <w:rPr>
          <w:b/>
        </w:rPr>
        <w:t>term</w:t>
      </w:r>
      <w:r>
        <w:t>.</w:t>
      </w:r>
    </w:p>
    <w:p w14:paraId="1393BACC" w14:textId="77777777" w:rsidR="00B04A88" w:rsidRDefault="005E1514">
      <w:pPr>
        <w:spacing w:after="388" w:line="259" w:lineRule="auto"/>
        <w:ind w:left="-5" w:firstLine="0"/>
      </w:pPr>
      <w:r>
        <w:rPr>
          <w:b/>
        </w:rPr>
        <w:t>II-2 SUMMARY OF NETWORK EQUIPMENT</w:t>
      </w:r>
    </w:p>
    <w:tbl>
      <w:tblPr>
        <w:tblStyle w:val="a0"/>
        <w:tblW w:w="7443" w:type="dxa"/>
        <w:tblInd w:w="110" w:type="dxa"/>
        <w:tblLayout w:type="fixed"/>
        <w:tblLook w:val="0400" w:firstRow="0" w:lastRow="0" w:firstColumn="0" w:lastColumn="0" w:noHBand="0" w:noVBand="1"/>
      </w:tblPr>
      <w:tblGrid>
        <w:gridCol w:w="2806"/>
        <w:gridCol w:w="3447"/>
        <w:gridCol w:w="1190"/>
      </w:tblGrid>
      <w:tr w:rsidR="00B04A88" w14:paraId="6D59FD0C" w14:textId="77777777">
        <w:trPr>
          <w:trHeight w:val="144"/>
        </w:trPr>
        <w:tc>
          <w:tcPr>
            <w:tcW w:w="2806" w:type="dxa"/>
            <w:tcBorders>
              <w:top w:val="single" w:sz="8" w:space="0" w:color="000000"/>
              <w:left w:val="single" w:sz="8" w:space="0" w:color="000000"/>
              <w:bottom w:val="single" w:sz="8" w:space="0" w:color="000000"/>
              <w:right w:val="single" w:sz="8" w:space="0" w:color="000000"/>
            </w:tcBorders>
            <w:vAlign w:val="center"/>
          </w:tcPr>
          <w:p w14:paraId="2571D005" w14:textId="77777777" w:rsidR="00B04A88" w:rsidRDefault="005E1514">
            <w:pPr>
              <w:spacing w:line="259" w:lineRule="auto"/>
              <w:ind w:left="90" w:firstLine="0"/>
            </w:pPr>
            <w:r>
              <w:rPr>
                <w:b/>
              </w:rPr>
              <w:t>Item</w:t>
            </w:r>
          </w:p>
        </w:tc>
        <w:tc>
          <w:tcPr>
            <w:tcW w:w="3447" w:type="dxa"/>
            <w:tcBorders>
              <w:top w:val="single" w:sz="8" w:space="0" w:color="000000"/>
              <w:left w:val="single" w:sz="8" w:space="0" w:color="000000"/>
              <w:bottom w:val="single" w:sz="8" w:space="0" w:color="000000"/>
              <w:right w:val="single" w:sz="8" w:space="0" w:color="000000"/>
            </w:tcBorders>
            <w:vAlign w:val="center"/>
          </w:tcPr>
          <w:p w14:paraId="1A46143B" w14:textId="77777777" w:rsidR="00B04A88" w:rsidRDefault="005E1514">
            <w:pPr>
              <w:spacing w:line="259" w:lineRule="auto"/>
              <w:ind w:left="90" w:firstLine="0"/>
              <w:rPr>
                <w:b/>
              </w:rPr>
            </w:pPr>
            <w:r>
              <w:rPr>
                <w:b/>
              </w:rPr>
              <w:t>Equal to or better than*</w:t>
            </w:r>
          </w:p>
        </w:tc>
        <w:tc>
          <w:tcPr>
            <w:tcW w:w="1190" w:type="dxa"/>
            <w:tcBorders>
              <w:top w:val="single" w:sz="8" w:space="0" w:color="000000"/>
              <w:left w:val="single" w:sz="8" w:space="0" w:color="000000"/>
              <w:bottom w:val="single" w:sz="8" w:space="0" w:color="000000"/>
              <w:right w:val="single" w:sz="8" w:space="0" w:color="000000"/>
            </w:tcBorders>
            <w:vAlign w:val="center"/>
          </w:tcPr>
          <w:p w14:paraId="0D82C8B2" w14:textId="77777777" w:rsidR="00B04A88" w:rsidRDefault="005E1514">
            <w:pPr>
              <w:spacing w:line="259" w:lineRule="auto"/>
              <w:ind w:left="91" w:firstLine="0"/>
            </w:pPr>
            <w:r>
              <w:rPr>
                <w:b/>
              </w:rPr>
              <w:t>Quantity</w:t>
            </w:r>
          </w:p>
        </w:tc>
      </w:tr>
      <w:tr w:rsidR="00B04A88" w14:paraId="09F4A2A2" w14:textId="77777777">
        <w:trPr>
          <w:trHeight w:val="144"/>
        </w:trPr>
        <w:tc>
          <w:tcPr>
            <w:tcW w:w="2806" w:type="dxa"/>
            <w:tcBorders>
              <w:top w:val="single" w:sz="8" w:space="0" w:color="000000"/>
              <w:left w:val="single" w:sz="8" w:space="0" w:color="000000"/>
              <w:bottom w:val="single" w:sz="8" w:space="0" w:color="000000"/>
              <w:right w:val="single" w:sz="8" w:space="0" w:color="000000"/>
            </w:tcBorders>
            <w:vAlign w:val="center"/>
          </w:tcPr>
          <w:p w14:paraId="5B82D1BD" w14:textId="77777777" w:rsidR="00B04A88" w:rsidRDefault="005E1514">
            <w:pPr>
              <w:spacing w:line="259" w:lineRule="auto"/>
              <w:ind w:left="90" w:firstLine="0"/>
            </w:pPr>
            <w:r>
              <w:t>Wireless access point</w:t>
            </w:r>
          </w:p>
        </w:tc>
        <w:tc>
          <w:tcPr>
            <w:tcW w:w="3447" w:type="dxa"/>
            <w:tcBorders>
              <w:top w:val="single" w:sz="8" w:space="0" w:color="000000"/>
              <w:left w:val="single" w:sz="8" w:space="0" w:color="000000"/>
              <w:bottom w:val="single" w:sz="8" w:space="0" w:color="000000"/>
              <w:right w:val="single" w:sz="8" w:space="0" w:color="000000"/>
            </w:tcBorders>
            <w:vAlign w:val="center"/>
          </w:tcPr>
          <w:p w14:paraId="44B5244A" w14:textId="77777777" w:rsidR="00B04A88" w:rsidRDefault="005E1514">
            <w:pPr>
              <w:spacing w:line="259" w:lineRule="auto"/>
              <w:ind w:left="90" w:firstLine="0"/>
            </w:pPr>
            <w:r>
              <w:t xml:space="preserve">Aruba </w:t>
            </w:r>
            <w:r>
              <w:rPr>
                <w:b/>
              </w:rPr>
              <w:t>IAP-515</w:t>
            </w:r>
            <w:r>
              <w:t xml:space="preserve"> or equivalent</w:t>
            </w:r>
          </w:p>
        </w:tc>
        <w:tc>
          <w:tcPr>
            <w:tcW w:w="1190" w:type="dxa"/>
            <w:tcBorders>
              <w:top w:val="single" w:sz="8" w:space="0" w:color="000000"/>
              <w:left w:val="single" w:sz="8" w:space="0" w:color="000000"/>
              <w:bottom w:val="single" w:sz="8" w:space="0" w:color="000000"/>
              <w:right w:val="single" w:sz="8" w:space="0" w:color="000000"/>
            </w:tcBorders>
          </w:tcPr>
          <w:p w14:paraId="743E028C" w14:textId="1BCCD805" w:rsidR="00B04A88" w:rsidRDefault="005E1514">
            <w:pPr>
              <w:spacing w:after="160" w:line="259" w:lineRule="auto"/>
              <w:ind w:left="0" w:firstLine="0"/>
              <w:jc w:val="center"/>
              <w:rPr>
                <w:b/>
                <w:highlight w:val="green"/>
              </w:rPr>
            </w:pPr>
            <w:r>
              <w:rPr>
                <w:b/>
                <w:highlight w:val="green"/>
              </w:rPr>
              <w:t>[</w:t>
            </w:r>
            <w:r w:rsidR="00AA0176">
              <w:rPr>
                <w:b/>
                <w:highlight w:val="green"/>
              </w:rPr>
              <w:t>1</w:t>
            </w:r>
            <w:r>
              <w:rPr>
                <w:b/>
                <w:highlight w:val="green"/>
              </w:rPr>
              <w:t>]</w:t>
            </w:r>
          </w:p>
        </w:tc>
      </w:tr>
      <w:tr w:rsidR="0030180B" w14:paraId="272AE8CD" w14:textId="77777777">
        <w:trPr>
          <w:trHeight w:val="144"/>
        </w:trPr>
        <w:tc>
          <w:tcPr>
            <w:tcW w:w="2806" w:type="dxa"/>
            <w:tcBorders>
              <w:top w:val="single" w:sz="8" w:space="0" w:color="000000"/>
              <w:left w:val="single" w:sz="8" w:space="0" w:color="000000"/>
              <w:bottom w:val="single" w:sz="8" w:space="0" w:color="000000"/>
              <w:right w:val="single" w:sz="8" w:space="0" w:color="000000"/>
            </w:tcBorders>
            <w:vAlign w:val="center"/>
          </w:tcPr>
          <w:p w14:paraId="399C7434" w14:textId="464F81E1" w:rsidR="0030180B" w:rsidRDefault="0030180B" w:rsidP="0030180B">
            <w:pPr>
              <w:spacing w:line="259" w:lineRule="auto"/>
              <w:ind w:left="90" w:firstLine="0"/>
            </w:pPr>
            <w:r w:rsidRPr="00BD29C2">
              <w:t xml:space="preserve">48-port </w:t>
            </w:r>
            <w:r>
              <w:t xml:space="preserve">gigabit </w:t>
            </w:r>
            <w:r w:rsidRPr="00BD29C2">
              <w:t xml:space="preserve">PoE+ </w:t>
            </w:r>
            <w:r>
              <w:t>s</w:t>
            </w:r>
            <w:r w:rsidRPr="00BD29C2">
              <w:t>witch</w:t>
            </w:r>
          </w:p>
        </w:tc>
        <w:tc>
          <w:tcPr>
            <w:tcW w:w="3447" w:type="dxa"/>
            <w:tcBorders>
              <w:top w:val="single" w:sz="8" w:space="0" w:color="000000"/>
              <w:left w:val="single" w:sz="8" w:space="0" w:color="000000"/>
              <w:bottom w:val="single" w:sz="8" w:space="0" w:color="000000"/>
              <w:right w:val="single" w:sz="8" w:space="0" w:color="000000"/>
            </w:tcBorders>
            <w:vAlign w:val="center"/>
          </w:tcPr>
          <w:p w14:paraId="4222B579" w14:textId="73366A14" w:rsidR="0030180B" w:rsidRDefault="0030180B" w:rsidP="0030180B">
            <w:pPr>
              <w:spacing w:line="259" w:lineRule="auto"/>
              <w:ind w:left="90" w:firstLine="0"/>
            </w:pPr>
            <w:r w:rsidRPr="00BD29C2">
              <w:t xml:space="preserve">Juniper </w:t>
            </w:r>
            <w:r w:rsidRPr="00BD29C2">
              <w:rPr>
                <w:b/>
              </w:rPr>
              <w:t>EX3400-48P</w:t>
            </w:r>
            <w:r w:rsidRPr="00BD29C2">
              <w:t xml:space="preserve"> or equivalent</w:t>
            </w:r>
          </w:p>
        </w:tc>
        <w:tc>
          <w:tcPr>
            <w:tcW w:w="1190" w:type="dxa"/>
            <w:tcBorders>
              <w:top w:val="single" w:sz="8" w:space="0" w:color="000000"/>
              <w:left w:val="single" w:sz="8" w:space="0" w:color="000000"/>
              <w:bottom w:val="single" w:sz="8" w:space="0" w:color="000000"/>
              <w:right w:val="single" w:sz="8" w:space="0" w:color="000000"/>
            </w:tcBorders>
          </w:tcPr>
          <w:p w14:paraId="4898C0D8" w14:textId="6ABFF810" w:rsidR="0030180B" w:rsidRDefault="0030180B" w:rsidP="0030180B">
            <w:pPr>
              <w:spacing w:after="160" w:line="259" w:lineRule="auto"/>
              <w:ind w:left="0" w:firstLine="0"/>
              <w:jc w:val="center"/>
              <w:rPr>
                <w:b/>
                <w:highlight w:val="green"/>
              </w:rPr>
            </w:pPr>
            <w:r w:rsidRPr="007C187E">
              <w:rPr>
                <w:b/>
                <w:highlight w:val="green"/>
              </w:rPr>
              <w:t>[</w:t>
            </w:r>
            <w:r>
              <w:rPr>
                <w:b/>
                <w:highlight w:val="green"/>
              </w:rPr>
              <w:t>1</w:t>
            </w:r>
            <w:r w:rsidRPr="007C187E">
              <w:rPr>
                <w:b/>
                <w:highlight w:val="green"/>
              </w:rPr>
              <w:t>]</w:t>
            </w:r>
          </w:p>
        </w:tc>
      </w:tr>
    </w:tbl>
    <w:p w14:paraId="090FD861" w14:textId="77777777" w:rsidR="00B04A88" w:rsidRDefault="005E1514">
      <w:pPr>
        <w:ind w:left="-5" w:right="3" w:firstLine="0"/>
        <w:rPr>
          <w:i/>
        </w:rPr>
      </w:pPr>
      <w:r>
        <w:rPr>
          <w:i/>
        </w:rPr>
        <w:t xml:space="preserve">* Vendors may propose different equipment, but all equipment must meet specifications in </w:t>
      </w:r>
      <w:r>
        <w:rPr>
          <w:b/>
          <w:i/>
        </w:rPr>
        <w:t>Section II-4</w:t>
      </w:r>
      <w:r>
        <w:rPr>
          <w:i/>
        </w:rPr>
        <w:t xml:space="preserve"> and have equal or better feature sets than models listed.</w:t>
      </w:r>
    </w:p>
    <w:p w14:paraId="3FECA534" w14:textId="77777777" w:rsidR="00B04A88" w:rsidRDefault="005E1514">
      <w:pPr>
        <w:ind w:left="-5" w:right="3" w:firstLine="0"/>
        <w:rPr>
          <w:b/>
        </w:rPr>
      </w:pPr>
      <w:r>
        <w:rPr>
          <w:b/>
        </w:rPr>
        <w:t>II-3 SUMMARY OF NETWORK EQUIPMENT LOCATIONS</w:t>
      </w:r>
    </w:p>
    <w:tbl>
      <w:tblPr>
        <w:tblStyle w:val="a1"/>
        <w:tblW w:w="7443" w:type="dxa"/>
        <w:tblInd w:w="110" w:type="dxa"/>
        <w:tblLayout w:type="fixed"/>
        <w:tblLook w:val="0400" w:firstRow="0" w:lastRow="0" w:firstColumn="0" w:lastColumn="0" w:noHBand="0" w:noVBand="1"/>
      </w:tblPr>
      <w:tblGrid>
        <w:gridCol w:w="2806"/>
        <w:gridCol w:w="3447"/>
        <w:gridCol w:w="1190"/>
      </w:tblGrid>
      <w:tr w:rsidR="00B04A88" w14:paraId="4BA11376" w14:textId="77777777">
        <w:trPr>
          <w:trHeight w:val="144"/>
          <w:tblHeader/>
        </w:trPr>
        <w:tc>
          <w:tcPr>
            <w:tcW w:w="2806" w:type="dxa"/>
            <w:tcBorders>
              <w:top w:val="single" w:sz="8" w:space="0" w:color="000000"/>
              <w:left w:val="single" w:sz="8" w:space="0" w:color="000000"/>
              <w:bottom w:val="single" w:sz="8" w:space="0" w:color="000000"/>
              <w:right w:val="single" w:sz="8" w:space="0" w:color="000000"/>
            </w:tcBorders>
            <w:vAlign w:val="center"/>
          </w:tcPr>
          <w:p w14:paraId="748A9CEB" w14:textId="77777777" w:rsidR="00B04A88" w:rsidRDefault="005E1514">
            <w:pPr>
              <w:spacing w:line="259" w:lineRule="auto"/>
              <w:ind w:left="90" w:firstLine="0"/>
            </w:pPr>
            <w:r>
              <w:rPr>
                <w:b/>
              </w:rPr>
              <w:t>Location</w:t>
            </w:r>
          </w:p>
        </w:tc>
        <w:tc>
          <w:tcPr>
            <w:tcW w:w="3447" w:type="dxa"/>
            <w:tcBorders>
              <w:top w:val="single" w:sz="8" w:space="0" w:color="000000"/>
              <w:left w:val="single" w:sz="8" w:space="0" w:color="000000"/>
              <w:bottom w:val="single" w:sz="8" w:space="0" w:color="000000"/>
              <w:right w:val="single" w:sz="8" w:space="0" w:color="000000"/>
            </w:tcBorders>
            <w:vAlign w:val="center"/>
          </w:tcPr>
          <w:p w14:paraId="04B2EC32" w14:textId="77777777" w:rsidR="00B04A88" w:rsidRDefault="005E1514">
            <w:pPr>
              <w:spacing w:line="259" w:lineRule="auto"/>
              <w:ind w:left="90" w:firstLine="0"/>
              <w:rPr>
                <w:b/>
              </w:rPr>
            </w:pPr>
            <w:r>
              <w:rPr>
                <w:b/>
              </w:rPr>
              <w:t>Equipment</w:t>
            </w:r>
          </w:p>
        </w:tc>
        <w:tc>
          <w:tcPr>
            <w:tcW w:w="1190" w:type="dxa"/>
            <w:tcBorders>
              <w:top w:val="single" w:sz="8" w:space="0" w:color="000000"/>
              <w:left w:val="single" w:sz="8" w:space="0" w:color="000000"/>
              <w:bottom w:val="single" w:sz="8" w:space="0" w:color="000000"/>
              <w:right w:val="single" w:sz="8" w:space="0" w:color="000000"/>
            </w:tcBorders>
            <w:vAlign w:val="center"/>
          </w:tcPr>
          <w:p w14:paraId="5F1BE15A" w14:textId="77777777" w:rsidR="00B04A88" w:rsidRDefault="005E1514">
            <w:pPr>
              <w:spacing w:line="259" w:lineRule="auto"/>
              <w:ind w:left="91" w:firstLine="0"/>
            </w:pPr>
            <w:r>
              <w:rPr>
                <w:b/>
              </w:rPr>
              <w:t>Quantity</w:t>
            </w:r>
          </w:p>
        </w:tc>
      </w:tr>
      <w:tr w:rsidR="00B04A88" w14:paraId="34B08941" w14:textId="77777777">
        <w:trPr>
          <w:trHeight w:val="144"/>
        </w:trPr>
        <w:tc>
          <w:tcPr>
            <w:tcW w:w="2806" w:type="dxa"/>
            <w:tcBorders>
              <w:top w:val="single" w:sz="8" w:space="0" w:color="000000"/>
              <w:left w:val="single" w:sz="8" w:space="0" w:color="000000"/>
              <w:bottom w:val="single" w:sz="8" w:space="0" w:color="000000"/>
              <w:right w:val="single" w:sz="8" w:space="0" w:color="000000"/>
            </w:tcBorders>
          </w:tcPr>
          <w:p w14:paraId="7D746091" w14:textId="6B56F701" w:rsidR="00B04A88" w:rsidRDefault="00AA0176">
            <w:pPr>
              <w:spacing w:line="259" w:lineRule="auto"/>
              <w:ind w:left="90" w:firstLine="0"/>
            </w:pPr>
            <w:r>
              <w:t>Bethany</w:t>
            </w:r>
            <w:r w:rsidR="005E1514">
              <w:t xml:space="preserve"> Elementary</w:t>
            </w:r>
          </w:p>
        </w:tc>
        <w:tc>
          <w:tcPr>
            <w:tcW w:w="3447" w:type="dxa"/>
            <w:tcBorders>
              <w:top w:val="single" w:sz="8" w:space="0" w:color="000000"/>
              <w:left w:val="single" w:sz="8" w:space="0" w:color="000000"/>
              <w:bottom w:val="single" w:sz="8" w:space="0" w:color="000000"/>
              <w:right w:val="single" w:sz="8" w:space="0" w:color="000000"/>
            </w:tcBorders>
          </w:tcPr>
          <w:p w14:paraId="74A99E8C" w14:textId="77777777" w:rsidR="00B04A88" w:rsidRDefault="005E1514">
            <w:pPr>
              <w:spacing w:line="259" w:lineRule="auto"/>
              <w:ind w:left="90" w:firstLine="0"/>
            </w:pPr>
            <w:r>
              <w:t>Wireless access point</w:t>
            </w:r>
          </w:p>
        </w:tc>
        <w:tc>
          <w:tcPr>
            <w:tcW w:w="1190" w:type="dxa"/>
            <w:tcBorders>
              <w:top w:val="single" w:sz="8" w:space="0" w:color="000000"/>
              <w:left w:val="single" w:sz="8" w:space="0" w:color="000000"/>
              <w:bottom w:val="single" w:sz="8" w:space="0" w:color="000000"/>
              <w:right w:val="single" w:sz="8" w:space="0" w:color="000000"/>
            </w:tcBorders>
          </w:tcPr>
          <w:p w14:paraId="2A345513" w14:textId="201FD763" w:rsidR="00B04A88" w:rsidRDefault="005E1514">
            <w:pPr>
              <w:spacing w:after="160" w:line="259" w:lineRule="auto"/>
              <w:ind w:left="0" w:firstLine="0"/>
              <w:jc w:val="center"/>
              <w:rPr>
                <w:b/>
                <w:highlight w:val="yellow"/>
              </w:rPr>
            </w:pPr>
            <w:r>
              <w:rPr>
                <w:b/>
                <w:highlight w:val="green"/>
              </w:rPr>
              <w:t>[</w:t>
            </w:r>
            <w:r w:rsidR="00AA0176">
              <w:rPr>
                <w:b/>
                <w:highlight w:val="green"/>
              </w:rPr>
              <w:t>1</w:t>
            </w:r>
            <w:r>
              <w:rPr>
                <w:b/>
                <w:highlight w:val="green"/>
              </w:rPr>
              <w:t>]</w:t>
            </w:r>
          </w:p>
        </w:tc>
      </w:tr>
      <w:tr w:rsidR="0030180B" w14:paraId="3D7E10C4" w14:textId="77777777">
        <w:trPr>
          <w:trHeight w:val="144"/>
        </w:trPr>
        <w:tc>
          <w:tcPr>
            <w:tcW w:w="2806" w:type="dxa"/>
            <w:tcBorders>
              <w:top w:val="single" w:sz="8" w:space="0" w:color="000000"/>
              <w:left w:val="single" w:sz="8" w:space="0" w:color="000000"/>
              <w:bottom w:val="single" w:sz="8" w:space="0" w:color="000000"/>
              <w:right w:val="single" w:sz="8" w:space="0" w:color="000000"/>
            </w:tcBorders>
          </w:tcPr>
          <w:p w14:paraId="10A6E9FA" w14:textId="0FE2A774" w:rsidR="0030180B" w:rsidRDefault="0030180B">
            <w:pPr>
              <w:spacing w:line="259" w:lineRule="auto"/>
              <w:ind w:left="90" w:firstLine="0"/>
            </w:pPr>
            <w:r>
              <w:t>Central Howell Elementary</w:t>
            </w:r>
          </w:p>
        </w:tc>
        <w:tc>
          <w:tcPr>
            <w:tcW w:w="3447" w:type="dxa"/>
            <w:tcBorders>
              <w:top w:val="single" w:sz="8" w:space="0" w:color="000000"/>
              <w:left w:val="single" w:sz="8" w:space="0" w:color="000000"/>
              <w:bottom w:val="single" w:sz="8" w:space="0" w:color="000000"/>
              <w:right w:val="single" w:sz="8" w:space="0" w:color="000000"/>
            </w:tcBorders>
          </w:tcPr>
          <w:p w14:paraId="6E6AD3F0" w14:textId="344617FF" w:rsidR="0030180B" w:rsidRDefault="0030180B">
            <w:pPr>
              <w:spacing w:line="259" w:lineRule="auto"/>
              <w:ind w:left="90" w:firstLine="0"/>
            </w:pPr>
            <w:r w:rsidRPr="00BD29C2">
              <w:t xml:space="preserve">48-port </w:t>
            </w:r>
            <w:r>
              <w:t xml:space="preserve">gigabit </w:t>
            </w:r>
            <w:r w:rsidRPr="00BD29C2">
              <w:t xml:space="preserve">PoE+ </w:t>
            </w:r>
            <w:r>
              <w:t>s</w:t>
            </w:r>
            <w:r w:rsidRPr="00BD29C2">
              <w:t>witch</w:t>
            </w:r>
          </w:p>
        </w:tc>
        <w:tc>
          <w:tcPr>
            <w:tcW w:w="1190" w:type="dxa"/>
            <w:tcBorders>
              <w:top w:val="single" w:sz="8" w:space="0" w:color="000000"/>
              <w:left w:val="single" w:sz="8" w:space="0" w:color="000000"/>
              <w:bottom w:val="single" w:sz="8" w:space="0" w:color="000000"/>
              <w:right w:val="single" w:sz="8" w:space="0" w:color="000000"/>
            </w:tcBorders>
          </w:tcPr>
          <w:p w14:paraId="1351A044" w14:textId="2556DB3A" w:rsidR="0030180B" w:rsidRDefault="0030180B">
            <w:pPr>
              <w:spacing w:after="160" w:line="259" w:lineRule="auto"/>
              <w:ind w:left="0" w:firstLine="0"/>
              <w:jc w:val="center"/>
              <w:rPr>
                <w:b/>
                <w:highlight w:val="green"/>
              </w:rPr>
            </w:pPr>
            <w:r>
              <w:rPr>
                <w:b/>
                <w:highlight w:val="green"/>
              </w:rPr>
              <w:t>[1]</w:t>
            </w:r>
          </w:p>
        </w:tc>
      </w:tr>
    </w:tbl>
    <w:p w14:paraId="1DDD4316" w14:textId="2A07A80E" w:rsidR="00B04A88" w:rsidRPr="00AA0176" w:rsidRDefault="005E1514" w:rsidP="00AA0176">
      <w:pPr>
        <w:ind w:left="-5" w:right="3" w:firstLine="0"/>
        <w:rPr>
          <w:b/>
        </w:rPr>
      </w:pPr>
      <w:r>
        <w:rPr>
          <w:i/>
        </w:rPr>
        <w:br/>
      </w:r>
      <w:r>
        <w:rPr>
          <w:b/>
        </w:rPr>
        <w:t>II-4 EQUIPMENT DETAIL (REQUIRED SPECIFICATIONS)</w:t>
      </w:r>
    </w:p>
    <w:p w14:paraId="4C636155" w14:textId="77777777" w:rsidR="00B04A88" w:rsidRDefault="005E1514">
      <w:pPr>
        <w:numPr>
          <w:ilvl w:val="0"/>
          <w:numId w:val="1"/>
        </w:numPr>
        <w:pBdr>
          <w:top w:val="nil"/>
          <w:left w:val="nil"/>
          <w:bottom w:val="nil"/>
          <w:right w:val="nil"/>
          <w:between w:val="nil"/>
        </w:pBdr>
        <w:spacing w:after="0"/>
        <w:rPr>
          <w:b/>
        </w:rPr>
      </w:pPr>
      <w:r>
        <w:rPr>
          <w:b/>
        </w:rPr>
        <w:t>Wireless access point specifications</w:t>
      </w:r>
    </w:p>
    <w:p w14:paraId="1B99D884" w14:textId="77777777" w:rsidR="00B04A88" w:rsidRDefault="005E1514">
      <w:pPr>
        <w:numPr>
          <w:ilvl w:val="1"/>
          <w:numId w:val="1"/>
        </w:numPr>
        <w:pBdr>
          <w:top w:val="nil"/>
          <w:left w:val="nil"/>
          <w:bottom w:val="nil"/>
          <w:right w:val="nil"/>
          <w:between w:val="nil"/>
        </w:pBdr>
        <w:spacing w:after="0"/>
      </w:pPr>
      <w:r>
        <w:t xml:space="preserve">Reference design: </w:t>
      </w:r>
      <w:r>
        <w:rPr>
          <w:b/>
        </w:rPr>
        <w:t>Aruba IAP-515</w:t>
      </w:r>
      <w:r>
        <w:t xml:space="preserve"> or equivalent</w:t>
      </w:r>
    </w:p>
    <w:p w14:paraId="7814033C" w14:textId="77777777" w:rsidR="00B04A88" w:rsidRDefault="005E1514">
      <w:pPr>
        <w:numPr>
          <w:ilvl w:val="2"/>
          <w:numId w:val="1"/>
        </w:numPr>
        <w:pBdr>
          <w:top w:val="nil"/>
          <w:left w:val="nil"/>
          <w:bottom w:val="nil"/>
          <w:right w:val="nil"/>
          <w:between w:val="nil"/>
        </w:pBdr>
        <w:spacing w:after="0"/>
      </w:pPr>
      <w:r>
        <w:t xml:space="preserve">Reference Link: </w:t>
      </w:r>
      <w:hyperlink r:id="rId10">
        <w:r>
          <w:rPr>
            <w:color w:val="0000FF"/>
            <w:u w:val="single"/>
          </w:rPr>
          <w:t>https://www.arubanetworks.com/assets/ds/DS_AP510Series.pdf</w:t>
        </w:r>
      </w:hyperlink>
      <w:r>
        <w:t xml:space="preserve"> </w:t>
      </w:r>
    </w:p>
    <w:p w14:paraId="32CD1959" w14:textId="77777777" w:rsidR="00B04A88" w:rsidRDefault="005E1514">
      <w:pPr>
        <w:numPr>
          <w:ilvl w:val="1"/>
          <w:numId w:val="1"/>
        </w:numPr>
        <w:pBdr>
          <w:top w:val="nil"/>
          <w:left w:val="nil"/>
          <w:bottom w:val="nil"/>
          <w:right w:val="nil"/>
          <w:between w:val="nil"/>
        </w:pBdr>
        <w:spacing w:after="0"/>
      </w:pPr>
      <w:r>
        <w:lastRenderedPageBreak/>
        <w:t>Minimum 1 x 10/100/1000BASE-T Ethernet network interface (RJ-45)</w:t>
      </w:r>
    </w:p>
    <w:p w14:paraId="01522B40" w14:textId="77777777" w:rsidR="00B04A88" w:rsidRDefault="005E1514">
      <w:pPr>
        <w:numPr>
          <w:ilvl w:val="2"/>
          <w:numId w:val="1"/>
        </w:numPr>
        <w:pBdr>
          <w:top w:val="nil"/>
          <w:left w:val="nil"/>
          <w:bottom w:val="nil"/>
          <w:right w:val="nil"/>
          <w:between w:val="nil"/>
        </w:pBdr>
        <w:spacing w:after="0"/>
      </w:pPr>
      <w:r>
        <w:t xml:space="preserve">POE and POE+ compatibility required; </w:t>
      </w:r>
      <w:r>
        <w:rPr>
          <w:b/>
        </w:rPr>
        <w:t>Passive POE disqualified</w:t>
      </w:r>
    </w:p>
    <w:p w14:paraId="4851E767" w14:textId="77777777" w:rsidR="00B04A88" w:rsidRDefault="005E1514">
      <w:pPr>
        <w:numPr>
          <w:ilvl w:val="1"/>
          <w:numId w:val="1"/>
        </w:numPr>
        <w:pBdr>
          <w:top w:val="nil"/>
          <w:left w:val="nil"/>
          <w:bottom w:val="nil"/>
          <w:right w:val="nil"/>
          <w:between w:val="nil"/>
        </w:pBdr>
        <w:spacing w:after="0"/>
      </w:pPr>
      <w:r>
        <w:t>Minimum 5GHz 802.11ax 4x4 MIMO and 2.4GHz 802.11ax 2x2 MIMO Wi-Fi Alliance (WFA) certified 802.11a/b/g/n/ac</w:t>
      </w:r>
    </w:p>
    <w:p w14:paraId="09273A42" w14:textId="77777777" w:rsidR="00B04A88" w:rsidRDefault="005E1514">
      <w:pPr>
        <w:numPr>
          <w:ilvl w:val="1"/>
          <w:numId w:val="1"/>
        </w:numPr>
        <w:pBdr>
          <w:top w:val="nil"/>
          <w:left w:val="nil"/>
          <w:bottom w:val="nil"/>
          <w:right w:val="nil"/>
          <w:between w:val="nil"/>
        </w:pBdr>
        <w:spacing w:after="0"/>
      </w:pPr>
      <w:r>
        <w:t>WPA, WPA2, and WPA3 - Enterprise with CNSA option, Personal (SAE), Enhanced Open (OWE)</w:t>
      </w:r>
    </w:p>
    <w:p w14:paraId="40F29AC4" w14:textId="77777777" w:rsidR="00B04A88" w:rsidRDefault="005E1514">
      <w:pPr>
        <w:numPr>
          <w:ilvl w:val="1"/>
          <w:numId w:val="1"/>
        </w:numPr>
        <w:pBdr>
          <w:top w:val="nil"/>
          <w:left w:val="nil"/>
          <w:bottom w:val="nil"/>
          <w:right w:val="nil"/>
          <w:between w:val="nil"/>
        </w:pBdr>
        <w:spacing w:after="0"/>
      </w:pPr>
      <w:r>
        <w:t>Aruba ClientMatch technology, or equivalent, preferred</w:t>
      </w:r>
    </w:p>
    <w:p w14:paraId="36283229" w14:textId="77777777" w:rsidR="00B04A88" w:rsidRDefault="005E1514">
      <w:pPr>
        <w:numPr>
          <w:ilvl w:val="1"/>
          <w:numId w:val="1"/>
        </w:numPr>
        <w:pBdr>
          <w:top w:val="nil"/>
          <w:left w:val="nil"/>
          <w:bottom w:val="nil"/>
          <w:right w:val="nil"/>
          <w:between w:val="nil"/>
        </w:pBdr>
        <w:spacing w:after="0"/>
        <w:rPr>
          <w:b/>
        </w:rPr>
      </w:pPr>
      <w:r>
        <w:rPr>
          <w:b/>
        </w:rPr>
        <w:t>Limited lifetime hardware warranty at no additional cost</w:t>
      </w:r>
    </w:p>
    <w:p w14:paraId="3F192A62" w14:textId="77777777" w:rsidR="00B04A88" w:rsidRDefault="005E1514">
      <w:pPr>
        <w:numPr>
          <w:ilvl w:val="1"/>
          <w:numId w:val="1"/>
        </w:numPr>
        <w:pBdr>
          <w:top w:val="nil"/>
          <w:left w:val="nil"/>
          <w:bottom w:val="nil"/>
          <w:right w:val="nil"/>
          <w:between w:val="nil"/>
        </w:pBdr>
        <w:spacing w:after="0"/>
        <w:rPr>
          <w:b/>
        </w:rPr>
      </w:pPr>
      <w:r>
        <w:rPr>
          <w:b/>
        </w:rPr>
        <w:t>Limited lifetime software feature updates, bug fixes, and patches at no additional cost</w:t>
      </w:r>
    </w:p>
    <w:p w14:paraId="437BC320" w14:textId="77777777" w:rsidR="00B04A88" w:rsidRDefault="005E1514">
      <w:pPr>
        <w:numPr>
          <w:ilvl w:val="1"/>
          <w:numId w:val="1"/>
        </w:numPr>
        <w:pBdr>
          <w:top w:val="nil"/>
          <w:left w:val="nil"/>
          <w:bottom w:val="nil"/>
          <w:right w:val="nil"/>
          <w:between w:val="nil"/>
        </w:pBdr>
        <w:spacing w:after="0"/>
        <w:rPr>
          <w:b/>
        </w:rPr>
      </w:pPr>
      <w:r>
        <w:rPr>
          <w:b/>
        </w:rPr>
        <w:t>Virtual clustering of more than 90 access points per cluster with no extra hardware or software required to manage the virtual cluster (aka virtual controller)</w:t>
      </w:r>
    </w:p>
    <w:p w14:paraId="7F8CBD9A" w14:textId="77777777" w:rsidR="00E222ED" w:rsidRDefault="005E1514">
      <w:pPr>
        <w:numPr>
          <w:ilvl w:val="1"/>
          <w:numId w:val="1"/>
        </w:numPr>
        <w:pBdr>
          <w:top w:val="nil"/>
          <w:left w:val="nil"/>
          <w:bottom w:val="nil"/>
          <w:right w:val="nil"/>
          <w:between w:val="nil"/>
        </w:pBdr>
        <w:spacing w:after="0"/>
        <w:rPr>
          <w:b/>
        </w:rPr>
      </w:pPr>
      <w:r>
        <w:rPr>
          <w:b/>
        </w:rPr>
        <w:t>Manageable via existing district Aruba virtual controllers, preferred</w:t>
      </w:r>
    </w:p>
    <w:p w14:paraId="611B38F7" w14:textId="77777777" w:rsidR="00E222ED" w:rsidRDefault="00E222ED" w:rsidP="00E222ED">
      <w:pPr>
        <w:pBdr>
          <w:top w:val="nil"/>
          <w:left w:val="nil"/>
          <w:bottom w:val="nil"/>
          <w:right w:val="nil"/>
          <w:between w:val="nil"/>
        </w:pBdr>
        <w:spacing w:after="0"/>
        <w:rPr>
          <w:b/>
        </w:rPr>
      </w:pPr>
    </w:p>
    <w:p w14:paraId="6C654813" w14:textId="77777777" w:rsidR="00E222ED" w:rsidRPr="00BD29C2" w:rsidRDefault="00E222ED" w:rsidP="00E222ED">
      <w:pPr>
        <w:pStyle w:val="ListParagraph"/>
        <w:numPr>
          <w:ilvl w:val="0"/>
          <w:numId w:val="4"/>
        </w:numPr>
        <w:rPr>
          <w:b/>
        </w:rPr>
      </w:pPr>
      <w:r w:rsidRPr="00BD29C2">
        <w:rPr>
          <w:b/>
        </w:rPr>
        <w:t xml:space="preserve">48-port </w:t>
      </w:r>
      <w:r>
        <w:rPr>
          <w:b/>
        </w:rPr>
        <w:t xml:space="preserve">gigabit </w:t>
      </w:r>
      <w:r w:rsidRPr="00BD29C2">
        <w:rPr>
          <w:b/>
        </w:rPr>
        <w:t xml:space="preserve">PoE+ </w:t>
      </w:r>
      <w:r>
        <w:rPr>
          <w:b/>
        </w:rPr>
        <w:t>s</w:t>
      </w:r>
      <w:r w:rsidRPr="00BD29C2">
        <w:rPr>
          <w:b/>
        </w:rPr>
        <w:t xml:space="preserve">witch </w:t>
      </w:r>
      <w:r>
        <w:rPr>
          <w:b/>
        </w:rPr>
        <w:t>s</w:t>
      </w:r>
      <w:r w:rsidRPr="00BD29C2">
        <w:rPr>
          <w:b/>
        </w:rPr>
        <w:t xml:space="preserve">pecifications </w:t>
      </w:r>
    </w:p>
    <w:p w14:paraId="048AF3C5" w14:textId="77777777" w:rsidR="00E222ED" w:rsidRDefault="00E222ED" w:rsidP="00E222ED">
      <w:pPr>
        <w:pStyle w:val="ListParagraph"/>
        <w:numPr>
          <w:ilvl w:val="1"/>
          <w:numId w:val="4"/>
        </w:numPr>
      </w:pPr>
      <w:r w:rsidRPr="00BD29C2">
        <w:t xml:space="preserve">Reference design: </w:t>
      </w:r>
      <w:r w:rsidRPr="00BD29C2">
        <w:rPr>
          <w:b/>
        </w:rPr>
        <w:t>Juniper EX3400-48P</w:t>
      </w:r>
      <w:r w:rsidRPr="00BD29C2">
        <w:t xml:space="preserve"> or equivalent</w:t>
      </w:r>
    </w:p>
    <w:p w14:paraId="61B69193" w14:textId="77777777" w:rsidR="00E222ED" w:rsidRPr="00BD29C2" w:rsidRDefault="00E222ED" w:rsidP="00E222ED">
      <w:pPr>
        <w:pStyle w:val="ListParagraph"/>
        <w:numPr>
          <w:ilvl w:val="2"/>
          <w:numId w:val="4"/>
        </w:numPr>
      </w:pPr>
      <w:r>
        <w:t xml:space="preserve">Reference Link: </w:t>
      </w:r>
      <w:hyperlink r:id="rId11" w:history="1">
        <w:r w:rsidRPr="00C837BB">
          <w:rPr>
            <w:rStyle w:val="Hyperlink"/>
          </w:rPr>
          <w:t>https://www.juniper.net/assets/us/en/local/pdf/datasheets/1000581-en.pdf</w:t>
        </w:r>
      </w:hyperlink>
    </w:p>
    <w:p w14:paraId="33FB9968" w14:textId="77777777" w:rsidR="00E222ED" w:rsidRPr="00BD29C2" w:rsidRDefault="00E222ED" w:rsidP="00E222ED">
      <w:pPr>
        <w:pStyle w:val="ListParagraph"/>
        <w:numPr>
          <w:ilvl w:val="1"/>
          <w:numId w:val="4"/>
        </w:numPr>
      </w:pPr>
      <w:r w:rsidRPr="00BD29C2">
        <w:t>48x 1G Base-T PoE+ ports, minimum</w:t>
      </w:r>
    </w:p>
    <w:p w14:paraId="5638FEED" w14:textId="77777777" w:rsidR="00E222ED" w:rsidRPr="00BD29C2" w:rsidRDefault="00E222ED" w:rsidP="00E222ED">
      <w:pPr>
        <w:pStyle w:val="ListParagraph"/>
        <w:numPr>
          <w:ilvl w:val="1"/>
          <w:numId w:val="4"/>
        </w:numPr>
      </w:pPr>
      <w:r w:rsidRPr="00BD29C2">
        <w:t>4x 10G SFP+ and/or 25G SFP28 ports, minimum</w:t>
      </w:r>
    </w:p>
    <w:p w14:paraId="6398A343" w14:textId="77777777" w:rsidR="00E222ED" w:rsidRPr="00BD29C2" w:rsidRDefault="00E222ED" w:rsidP="00E222ED">
      <w:pPr>
        <w:pStyle w:val="ListParagraph"/>
        <w:numPr>
          <w:ilvl w:val="1"/>
          <w:numId w:val="4"/>
        </w:numPr>
      </w:pPr>
      <w:r w:rsidRPr="00BD29C2">
        <w:t>2x 40G QSFP and/or 100G QSFP28 ports minimum</w:t>
      </w:r>
    </w:p>
    <w:p w14:paraId="71BC2105" w14:textId="77777777" w:rsidR="00E222ED" w:rsidRPr="00BD29C2" w:rsidRDefault="00E222ED" w:rsidP="00E222ED">
      <w:pPr>
        <w:pStyle w:val="ListParagraph"/>
        <w:numPr>
          <w:ilvl w:val="1"/>
          <w:numId w:val="4"/>
        </w:numPr>
      </w:pPr>
      <w:r w:rsidRPr="00BD29C2">
        <w:t>Static Routing</w:t>
      </w:r>
    </w:p>
    <w:p w14:paraId="594BBB4B" w14:textId="77777777" w:rsidR="00E222ED" w:rsidRPr="00BD29C2" w:rsidRDefault="00E222ED" w:rsidP="00E222ED">
      <w:pPr>
        <w:pStyle w:val="ListParagraph"/>
        <w:numPr>
          <w:ilvl w:val="1"/>
          <w:numId w:val="4"/>
        </w:numPr>
      </w:pPr>
      <w:r w:rsidRPr="00BD29C2">
        <w:t>DHCP forwarding</w:t>
      </w:r>
    </w:p>
    <w:p w14:paraId="495D1D76" w14:textId="77777777" w:rsidR="00E222ED" w:rsidRPr="00BD29C2" w:rsidRDefault="00E222ED" w:rsidP="00E222ED">
      <w:pPr>
        <w:pStyle w:val="ListParagraph"/>
        <w:numPr>
          <w:ilvl w:val="1"/>
          <w:numId w:val="4"/>
        </w:numPr>
      </w:pPr>
      <w:r w:rsidRPr="00BD29C2">
        <w:t>Q</w:t>
      </w:r>
      <w:r>
        <w:t>-i</w:t>
      </w:r>
      <w:r w:rsidRPr="00BD29C2">
        <w:t>n</w:t>
      </w:r>
      <w:r>
        <w:t>-</w:t>
      </w:r>
      <w:r w:rsidRPr="00BD29C2">
        <w:t>Q</w:t>
      </w:r>
    </w:p>
    <w:p w14:paraId="14402351" w14:textId="77777777" w:rsidR="00E222ED" w:rsidRPr="00BD29C2" w:rsidRDefault="00E222ED" w:rsidP="00E222ED">
      <w:pPr>
        <w:pStyle w:val="ListParagraph"/>
        <w:numPr>
          <w:ilvl w:val="1"/>
          <w:numId w:val="4"/>
        </w:numPr>
      </w:pPr>
      <w:r w:rsidRPr="00BD29C2">
        <w:t>9000 MTU, minimum</w:t>
      </w:r>
    </w:p>
    <w:p w14:paraId="7B97A008" w14:textId="77777777" w:rsidR="00E222ED" w:rsidRPr="00BD29C2" w:rsidRDefault="00E222ED" w:rsidP="00E222ED">
      <w:pPr>
        <w:pStyle w:val="ListParagraph"/>
        <w:numPr>
          <w:ilvl w:val="1"/>
          <w:numId w:val="4"/>
        </w:numPr>
      </w:pPr>
      <w:r w:rsidRPr="00BD29C2">
        <w:t>16,000 IPv4 ARP table, minimum</w:t>
      </w:r>
    </w:p>
    <w:p w14:paraId="02E3494C" w14:textId="77777777" w:rsidR="00E222ED" w:rsidRPr="00BD29C2" w:rsidRDefault="00E222ED" w:rsidP="00E222ED">
      <w:pPr>
        <w:pStyle w:val="ListParagraph"/>
        <w:numPr>
          <w:ilvl w:val="1"/>
          <w:numId w:val="4"/>
        </w:numPr>
      </w:pPr>
      <w:r w:rsidRPr="00BD29C2">
        <w:t>32,000 MAC table, minimum</w:t>
      </w:r>
    </w:p>
    <w:p w14:paraId="647F9BC9" w14:textId="77777777" w:rsidR="00E222ED" w:rsidRPr="00BD29C2" w:rsidRDefault="00E222ED" w:rsidP="00E222ED">
      <w:pPr>
        <w:pStyle w:val="ListParagraph"/>
        <w:numPr>
          <w:ilvl w:val="1"/>
          <w:numId w:val="4"/>
        </w:numPr>
      </w:pPr>
      <w:r w:rsidRPr="00BD29C2">
        <w:t>IPv6</w:t>
      </w:r>
    </w:p>
    <w:p w14:paraId="0E884A30" w14:textId="77777777" w:rsidR="00E222ED" w:rsidRPr="00BD29C2" w:rsidRDefault="00E222ED" w:rsidP="00E222ED">
      <w:pPr>
        <w:pStyle w:val="ListParagraph"/>
        <w:numPr>
          <w:ilvl w:val="1"/>
          <w:numId w:val="4"/>
        </w:numPr>
      </w:pPr>
      <w:r w:rsidRPr="00BD29C2">
        <w:t xml:space="preserve">Support for SR, LR, ER, ZR, </w:t>
      </w:r>
      <w:proofErr w:type="spellStart"/>
      <w:r w:rsidRPr="00BD29C2">
        <w:t>BiDi</w:t>
      </w:r>
      <w:proofErr w:type="spellEnd"/>
      <w:r w:rsidRPr="00BD29C2">
        <w:t>, and DWDM optics, preference for third party compatible options</w:t>
      </w:r>
    </w:p>
    <w:p w14:paraId="1D92C797" w14:textId="77777777" w:rsidR="00E222ED" w:rsidRPr="00BD29C2" w:rsidRDefault="00E222ED" w:rsidP="00E222ED">
      <w:pPr>
        <w:pStyle w:val="ListParagraph"/>
        <w:numPr>
          <w:ilvl w:val="1"/>
          <w:numId w:val="4"/>
        </w:numPr>
      </w:pPr>
      <w:r w:rsidRPr="00BD29C2">
        <w:t>Dual power</w:t>
      </w:r>
    </w:p>
    <w:p w14:paraId="5F8612E1" w14:textId="77777777" w:rsidR="00E222ED" w:rsidRDefault="00E222ED" w:rsidP="00E222ED">
      <w:pPr>
        <w:pStyle w:val="ListParagraph"/>
        <w:numPr>
          <w:ilvl w:val="1"/>
          <w:numId w:val="4"/>
        </w:numPr>
      </w:pPr>
      <w:r w:rsidRPr="00BD29C2">
        <w:t>Virtual chassis support</w:t>
      </w:r>
    </w:p>
    <w:p w14:paraId="7DF96E13" w14:textId="27DB692D" w:rsidR="00B04A88" w:rsidRPr="00E222ED" w:rsidRDefault="00E222ED" w:rsidP="00E222ED">
      <w:pPr>
        <w:pStyle w:val="ListParagraph"/>
        <w:numPr>
          <w:ilvl w:val="1"/>
          <w:numId w:val="4"/>
        </w:numPr>
      </w:pPr>
      <w:r w:rsidRPr="00BD29C2">
        <w:t>Prefer lifetime warranty</w:t>
      </w:r>
    </w:p>
    <w:p w14:paraId="3D2D6C7A" w14:textId="77777777" w:rsidR="00E222ED" w:rsidRPr="00BD29C2" w:rsidRDefault="00E222ED" w:rsidP="00E222ED">
      <w:pPr>
        <w:spacing w:after="0"/>
        <w:ind w:left="370"/>
        <w:rPr>
          <w:b/>
        </w:rPr>
      </w:pPr>
      <w:r w:rsidRPr="00BD29C2">
        <w:rPr>
          <w:b/>
        </w:rPr>
        <w:t>Automation support requirements for Switching equipment:</w:t>
      </w:r>
    </w:p>
    <w:p w14:paraId="12A751E0" w14:textId="77777777" w:rsidR="00E222ED" w:rsidRPr="00BD29C2" w:rsidRDefault="00E222ED" w:rsidP="00E222ED">
      <w:pPr>
        <w:pStyle w:val="ListParagraph"/>
        <w:numPr>
          <w:ilvl w:val="0"/>
          <w:numId w:val="5"/>
        </w:numPr>
        <w:spacing w:after="0"/>
        <w:ind w:left="1080"/>
      </w:pPr>
      <w:r w:rsidRPr="00BD29C2">
        <w:t>Programmable interface (API). The device MUST have an on-device programmable API (NETCONF or REST) that allows an external script to:</w:t>
      </w:r>
    </w:p>
    <w:p w14:paraId="37FCB1C7" w14:textId="77777777" w:rsidR="00E222ED" w:rsidRPr="00BD29C2" w:rsidRDefault="00E222ED" w:rsidP="00E222ED">
      <w:pPr>
        <w:pStyle w:val="ListParagraph"/>
        <w:numPr>
          <w:ilvl w:val="1"/>
          <w:numId w:val="5"/>
        </w:numPr>
        <w:ind w:left="1800"/>
      </w:pPr>
      <w:r w:rsidRPr="00BD29C2">
        <w:t>Get device configuration</w:t>
      </w:r>
    </w:p>
    <w:p w14:paraId="743CE9FE" w14:textId="77777777" w:rsidR="00E222ED" w:rsidRPr="00BD29C2" w:rsidRDefault="00E222ED" w:rsidP="00E222ED">
      <w:pPr>
        <w:pStyle w:val="ListParagraph"/>
        <w:numPr>
          <w:ilvl w:val="1"/>
          <w:numId w:val="5"/>
        </w:numPr>
        <w:ind w:left="1800"/>
      </w:pPr>
      <w:r w:rsidRPr="00BD29C2">
        <w:t>Get operational data</w:t>
      </w:r>
    </w:p>
    <w:p w14:paraId="5FE9B925" w14:textId="77777777" w:rsidR="00E222ED" w:rsidRPr="00BD29C2" w:rsidRDefault="00E222ED" w:rsidP="00E222ED">
      <w:pPr>
        <w:pStyle w:val="ListParagraph"/>
        <w:numPr>
          <w:ilvl w:val="1"/>
          <w:numId w:val="5"/>
        </w:numPr>
        <w:ind w:left="1800"/>
      </w:pPr>
      <w:r w:rsidRPr="00BD29C2">
        <w:lastRenderedPageBreak/>
        <w:t>Change device configuration</w:t>
      </w:r>
    </w:p>
    <w:p w14:paraId="2470B4A8" w14:textId="77777777" w:rsidR="00E222ED" w:rsidRPr="00BD29C2" w:rsidRDefault="00E222ED" w:rsidP="00E222ED">
      <w:pPr>
        <w:pStyle w:val="ListParagraph"/>
        <w:numPr>
          <w:ilvl w:val="0"/>
          <w:numId w:val="5"/>
        </w:numPr>
        <w:ind w:left="1080"/>
      </w:pPr>
      <w:r w:rsidRPr="00BD29C2">
        <w:t>Structured operational data.</w:t>
      </w:r>
    </w:p>
    <w:p w14:paraId="12CF604F" w14:textId="77777777" w:rsidR="00E222ED" w:rsidRPr="00BD29C2" w:rsidRDefault="00E222ED" w:rsidP="00E222ED">
      <w:pPr>
        <w:pStyle w:val="ListParagraph"/>
        <w:numPr>
          <w:ilvl w:val="1"/>
          <w:numId w:val="5"/>
        </w:numPr>
        <w:ind w:left="1800"/>
      </w:pPr>
      <w:r w:rsidRPr="00BD29C2">
        <w:t>The device MUST return operational data as structured data (JSON or XML format).</w:t>
      </w:r>
    </w:p>
    <w:p w14:paraId="38AE70EB" w14:textId="77777777" w:rsidR="00E222ED" w:rsidRPr="00BD29C2" w:rsidRDefault="00E222ED" w:rsidP="00E222ED">
      <w:pPr>
        <w:pStyle w:val="ListParagraph"/>
        <w:numPr>
          <w:ilvl w:val="1"/>
          <w:numId w:val="5"/>
        </w:numPr>
        <w:ind w:left="1800"/>
      </w:pPr>
      <w:r w:rsidRPr="00BD29C2">
        <w:t>The device MUST NOT return operational data as text printouts wrapped in XML or JSON envelopes.</w:t>
      </w:r>
    </w:p>
    <w:p w14:paraId="172EC662" w14:textId="77777777" w:rsidR="00E222ED" w:rsidRPr="00BD29C2" w:rsidRDefault="00E222ED" w:rsidP="00E222ED">
      <w:pPr>
        <w:pStyle w:val="ListParagraph"/>
        <w:numPr>
          <w:ilvl w:val="0"/>
          <w:numId w:val="5"/>
        </w:numPr>
        <w:ind w:left="1080"/>
      </w:pPr>
      <w:r w:rsidRPr="00BD29C2">
        <w:t>Device configuration in structured format</w:t>
      </w:r>
    </w:p>
    <w:p w14:paraId="787D5D5D" w14:textId="77777777" w:rsidR="00E222ED" w:rsidRPr="00BD29C2" w:rsidRDefault="00E222ED" w:rsidP="00E222ED">
      <w:pPr>
        <w:pStyle w:val="ListParagraph"/>
        <w:numPr>
          <w:ilvl w:val="1"/>
          <w:numId w:val="5"/>
        </w:numPr>
        <w:ind w:left="1800"/>
      </w:pPr>
      <w:r w:rsidRPr="00BD29C2">
        <w:t>The device SHOULD return its configuration in structured format (JSON or XML) with meaningful structure; for example, ACL lines should be within the ACL.</w:t>
      </w:r>
    </w:p>
    <w:p w14:paraId="7C73A8BA" w14:textId="77777777" w:rsidR="00E222ED" w:rsidRPr="00BD29C2" w:rsidRDefault="00E222ED" w:rsidP="00E222ED">
      <w:pPr>
        <w:pStyle w:val="ListParagraph"/>
        <w:numPr>
          <w:ilvl w:val="0"/>
          <w:numId w:val="5"/>
        </w:numPr>
        <w:ind w:left="1080"/>
      </w:pPr>
      <w:r w:rsidRPr="00BD29C2">
        <w:t>Atomic configuration changes</w:t>
      </w:r>
    </w:p>
    <w:p w14:paraId="7C1CCFCB" w14:textId="77777777" w:rsidR="00E222ED" w:rsidRPr="00BD29C2" w:rsidRDefault="00E222ED" w:rsidP="00E222ED">
      <w:pPr>
        <w:pStyle w:val="ListParagraph"/>
        <w:numPr>
          <w:ilvl w:val="1"/>
          <w:numId w:val="5"/>
        </w:numPr>
        <w:ind w:left="1800"/>
      </w:pPr>
      <w:r w:rsidRPr="00BD29C2">
        <w:t>Changes to device configuration MUST be atomic, either all the submitted changes are accepted, or none is.</w:t>
      </w:r>
    </w:p>
    <w:p w14:paraId="785C920F" w14:textId="77777777" w:rsidR="00E222ED" w:rsidRPr="00BD29C2" w:rsidRDefault="00E222ED" w:rsidP="00E222ED">
      <w:pPr>
        <w:pStyle w:val="ListParagraph"/>
        <w:numPr>
          <w:ilvl w:val="0"/>
          <w:numId w:val="5"/>
        </w:numPr>
        <w:ind w:left="1080"/>
      </w:pPr>
      <w:r w:rsidRPr="00BD29C2">
        <w:t>Configuration rollback</w:t>
      </w:r>
    </w:p>
    <w:p w14:paraId="125C3845" w14:textId="77777777" w:rsidR="00E222ED" w:rsidRPr="00BD29C2" w:rsidRDefault="00E222ED" w:rsidP="00E222ED">
      <w:pPr>
        <w:pStyle w:val="ListParagraph"/>
        <w:numPr>
          <w:ilvl w:val="1"/>
          <w:numId w:val="5"/>
        </w:numPr>
        <w:ind w:left="1800"/>
      </w:pPr>
      <w:r w:rsidRPr="00BD29C2">
        <w:t>The device MUST support rollback to a previous configuration.</w:t>
      </w:r>
    </w:p>
    <w:p w14:paraId="76E77B6A" w14:textId="77777777" w:rsidR="00E222ED" w:rsidRPr="00BD29C2" w:rsidRDefault="00E222ED" w:rsidP="00E222ED">
      <w:pPr>
        <w:pStyle w:val="ListParagraph"/>
        <w:numPr>
          <w:ilvl w:val="0"/>
          <w:numId w:val="5"/>
        </w:numPr>
        <w:ind w:left="1080"/>
      </w:pPr>
      <w:r w:rsidRPr="00BD29C2">
        <w:t>Configuration replacement</w:t>
      </w:r>
    </w:p>
    <w:p w14:paraId="2976953C" w14:textId="77777777" w:rsidR="00E222ED" w:rsidRPr="00BD29C2" w:rsidRDefault="00E222ED" w:rsidP="00E222ED">
      <w:pPr>
        <w:pStyle w:val="ListParagraph"/>
        <w:numPr>
          <w:ilvl w:val="1"/>
          <w:numId w:val="5"/>
        </w:numPr>
        <w:ind w:left="1800"/>
      </w:pPr>
      <w:r w:rsidRPr="00BD29C2">
        <w:t>The device MUST support replacing current configuration with a new configuration without a reload.</w:t>
      </w:r>
    </w:p>
    <w:p w14:paraId="4547DEDC" w14:textId="77777777" w:rsidR="00E222ED" w:rsidRPr="00BD29C2" w:rsidRDefault="00E222ED" w:rsidP="00E222ED">
      <w:pPr>
        <w:pStyle w:val="ListParagraph"/>
        <w:numPr>
          <w:ilvl w:val="0"/>
          <w:numId w:val="5"/>
        </w:numPr>
        <w:ind w:left="1080"/>
      </w:pPr>
      <w:r w:rsidRPr="00BD29C2">
        <w:t>Configuration diff</w:t>
      </w:r>
    </w:p>
    <w:p w14:paraId="713D835F" w14:textId="77777777" w:rsidR="00E222ED" w:rsidRPr="00BD29C2" w:rsidRDefault="00E222ED" w:rsidP="00E222ED">
      <w:pPr>
        <w:pStyle w:val="ListParagraph"/>
        <w:numPr>
          <w:ilvl w:val="1"/>
          <w:numId w:val="5"/>
        </w:numPr>
        <w:ind w:left="1800"/>
      </w:pPr>
      <w:r w:rsidRPr="00BD29C2">
        <w:t>The device SHOULD be able to create a list of configuration commands needed to transform one configuration into another.</w:t>
      </w:r>
    </w:p>
    <w:p w14:paraId="5FE5D177" w14:textId="77777777" w:rsidR="00E222ED" w:rsidRPr="00BD29C2" w:rsidRDefault="00E222ED" w:rsidP="00E222ED">
      <w:pPr>
        <w:pStyle w:val="ListParagraph"/>
        <w:numPr>
          <w:ilvl w:val="0"/>
          <w:numId w:val="5"/>
        </w:numPr>
        <w:ind w:left="1080"/>
      </w:pPr>
      <w:r w:rsidRPr="00BD29C2">
        <w:t>Support for industry-standard models</w:t>
      </w:r>
    </w:p>
    <w:p w14:paraId="0EA1A91C" w14:textId="77777777" w:rsidR="00E222ED" w:rsidRDefault="00E222ED" w:rsidP="00E222ED">
      <w:pPr>
        <w:pStyle w:val="ListParagraph"/>
        <w:numPr>
          <w:ilvl w:val="1"/>
          <w:numId w:val="5"/>
        </w:numPr>
        <w:ind w:left="1800"/>
      </w:pPr>
      <w:r w:rsidRPr="00BD29C2">
        <w:t xml:space="preserve">The device SHOULD support industry-standard configuration data models such as IETF and/or </w:t>
      </w:r>
      <w:proofErr w:type="spellStart"/>
      <w:r w:rsidRPr="00BD29C2">
        <w:t>OpenConfig</w:t>
      </w:r>
      <w:proofErr w:type="spellEnd"/>
      <w:r w:rsidRPr="00BD29C2">
        <w:t>.</w:t>
      </w:r>
      <w:r>
        <w:t xml:space="preserve"> </w:t>
      </w:r>
    </w:p>
    <w:p w14:paraId="6F3D629D" w14:textId="77777777" w:rsidR="00B04A88" w:rsidRDefault="005E1514">
      <w:pPr>
        <w:pStyle w:val="Heading1"/>
        <w:ind w:left="84" w:right="170" w:firstLine="73"/>
        <w:rPr>
          <w:u w:val="single"/>
        </w:rPr>
      </w:pPr>
      <w:r>
        <w:rPr>
          <w:u w:val="single"/>
        </w:rPr>
        <w:t xml:space="preserve">PART III - CRITERIA FOR SELECTION </w:t>
      </w:r>
    </w:p>
    <w:p w14:paraId="20FD16DD" w14:textId="77777777" w:rsidR="00B04A88" w:rsidRDefault="005E1514">
      <w:pPr>
        <w:spacing w:after="337" w:line="259" w:lineRule="auto"/>
        <w:ind w:left="0" w:right="96" w:firstLine="0"/>
      </w:pPr>
      <w:r>
        <w:t>The proposals will be reviewed by the Silver Falls School District’s Technology Dept.</w:t>
      </w:r>
    </w:p>
    <w:p w14:paraId="2862D4DC" w14:textId="77777777" w:rsidR="00B04A88" w:rsidRDefault="005E1514">
      <w:pPr>
        <w:spacing w:after="337" w:line="259" w:lineRule="auto"/>
        <w:ind w:left="0" w:right="96" w:firstLine="0"/>
      </w:pPr>
      <w:r>
        <w:t>The District reserves the right to award all, some or no portions of the project to a single or multiple vendors.</w:t>
      </w:r>
    </w:p>
    <w:p w14:paraId="728CB4B7" w14:textId="77777777" w:rsidR="00B04A88" w:rsidRDefault="005E1514">
      <w:pPr>
        <w:spacing w:after="337" w:line="259" w:lineRule="auto"/>
        <w:ind w:left="0" w:right="96" w:firstLine="0"/>
      </w:pPr>
      <w:r>
        <w:t xml:space="preserve">By submitting a bid on the requested services herein, the bidder certifies that its proposed prices are consistent with the FCC’s </w:t>
      </w:r>
      <w:r>
        <w:rPr>
          <w:b/>
        </w:rPr>
        <w:t>Lowest Corresponding Price</w:t>
      </w:r>
      <w:r>
        <w:t xml:space="preserve"> (“</w:t>
      </w:r>
      <w:r>
        <w:rPr>
          <w:b/>
        </w:rPr>
        <w:t>LCP</w:t>
      </w:r>
      <w:r>
        <w:t>”) requirements and that its equipment and services are compliant with the FCC’s recent Order (</w:t>
      </w:r>
      <w:r>
        <w:rPr>
          <w:b/>
        </w:rPr>
        <w:t>FCC 19-121</w:t>
      </w:r>
      <w:r>
        <w:t>) prohibiting the sale, provision, maintenance, modification, or other support of equipment or services provided or manufactured by Huawei, ZTE, or any other “covered company” deemed a national security threat.</w:t>
      </w:r>
      <w:r>
        <w:br/>
      </w:r>
      <w:r>
        <w:br/>
      </w:r>
      <w:r>
        <w:rPr>
          <w:b/>
        </w:rPr>
        <w:t>Lowest Corresponding Price, LCP,</w:t>
      </w:r>
      <w:r>
        <w:t xml:space="preserve"> </w:t>
      </w:r>
      <w:r>
        <w:rPr>
          <w:b/>
        </w:rPr>
        <w:t>reference</w:t>
      </w:r>
      <w:r>
        <w:t xml:space="preserve">: </w:t>
      </w:r>
      <w:hyperlink r:id="rId12">
        <w:r>
          <w:rPr>
            <w:color w:val="0000FF"/>
            <w:u w:val="single"/>
          </w:rPr>
          <w:t>https://www.usac.org/e-rate/service-providers/step-2-responding-to-bids/lowest-corresponding-price/</w:t>
        </w:r>
      </w:hyperlink>
      <w:r>
        <w:t xml:space="preserve">  </w:t>
      </w:r>
      <w:r>
        <w:br/>
      </w:r>
      <w:r>
        <w:lastRenderedPageBreak/>
        <w:br/>
      </w:r>
      <w:r>
        <w:rPr>
          <w:b/>
        </w:rPr>
        <w:t>FCC 19-121 reference</w:t>
      </w:r>
      <w:r>
        <w:t xml:space="preserve">: </w:t>
      </w:r>
      <w:hyperlink r:id="rId13">
        <w:r>
          <w:rPr>
            <w:color w:val="0000FF"/>
            <w:u w:val="single"/>
          </w:rPr>
          <w:t>https://docs.fcc.gov/public/attachments/FCC-19-121A1.pdf</w:t>
        </w:r>
      </w:hyperlink>
    </w:p>
    <w:p w14:paraId="1AFDC48C" w14:textId="77777777" w:rsidR="00B04A88" w:rsidRDefault="005E1514">
      <w:pPr>
        <w:ind w:left="-5" w:right="3" w:firstLine="0"/>
      </w:pPr>
      <w:r>
        <w:t xml:space="preserve">The following elements will be the primary consideration in evaluating proposals and in the selection of a Vendor </w:t>
      </w:r>
    </w:p>
    <w:p w14:paraId="1469F046" w14:textId="77777777" w:rsidR="00B04A88" w:rsidRDefault="005E1514">
      <w:pPr>
        <w:numPr>
          <w:ilvl w:val="0"/>
          <w:numId w:val="3"/>
        </w:numPr>
        <w:spacing w:after="37"/>
        <w:ind w:right="3" w:hanging="360"/>
        <w:rPr>
          <w:highlight w:val="yellow"/>
        </w:rPr>
      </w:pPr>
      <w:r>
        <w:rPr>
          <w:highlight w:val="yellow"/>
        </w:rPr>
        <w:t>Price of eligible goods/services (</w:t>
      </w:r>
      <w:r>
        <w:rPr>
          <w:b/>
          <w:highlight w:val="yellow"/>
        </w:rPr>
        <w:t>60%</w:t>
      </w:r>
      <w:r>
        <w:rPr>
          <w:highlight w:val="yellow"/>
        </w:rPr>
        <w:t>)</w:t>
      </w:r>
    </w:p>
    <w:p w14:paraId="3F3376DC" w14:textId="77777777" w:rsidR="00B04A88" w:rsidRDefault="005E1514">
      <w:pPr>
        <w:numPr>
          <w:ilvl w:val="0"/>
          <w:numId w:val="3"/>
        </w:numPr>
        <w:spacing w:after="36"/>
        <w:ind w:right="3" w:hanging="360"/>
        <w:rPr>
          <w:highlight w:val="yellow"/>
        </w:rPr>
      </w:pPr>
      <w:r>
        <w:rPr>
          <w:highlight w:val="yellow"/>
        </w:rPr>
        <w:t>Specification requirements (</w:t>
      </w:r>
      <w:r>
        <w:rPr>
          <w:b/>
          <w:highlight w:val="yellow"/>
        </w:rPr>
        <w:t>40%</w:t>
      </w:r>
      <w:r>
        <w:rPr>
          <w:highlight w:val="yellow"/>
        </w:rPr>
        <w:t>)</w:t>
      </w:r>
    </w:p>
    <w:p w14:paraId="3463B010" w14:textId="1C9210C8" w:rsidR="00B04A88" w:rsidRDefault="005E1514">
      <w:pPr>
        <w:spacing w:after="0"/>
        <w:ind w:left="0" w:right="3" w:firstLine="0"/>
      </w:pPr>
      <w:r>
        <w:rPr>
          <w:highlight w:val="yellow"/>
        </w:rPr>
        <w:br/>
      </w:r>
      <w:r>
        <w:t xml:space="preserve">Questions must be submitted electronically via email to: </w:t>
      </w:r>
      <w:hyperlink r:id="rId14">
        <w:r>
          <w:rPr>
            <w:color w:val="0000FF"/>
            <w:u w:val="single"/>
          </w:rPr>
          <w:t>erate@silverfalls.k12.or.us</w:t>
        </w:r>
      </w:hyperlink>
      <w:r>
        <w:t xml:space="preserve"> Submitted questions and responses will be posted in EPC and added to the RFP documentation.</w:t>
      </w:r>
      <w:r>
        <w:br/>
      </w:r>
      <w:r>
        <w:br/>
        <w:t xml:space="preserve">Bids must be submitted via email to: </w:t>
      </w:r>
      <w:hyperlink r:id="rId15">
        <w:r>
          <w:rPr>
            <w:color w:val="0000FF"/>
            <w:u w:val="single"/>
          </w:rPr>
          <w:t>erate@silverfalls.k12.or.us</w:t>
        </w:r>
      </w:hyperlink>
      <w:r>
        <w:t xml:space="preserve"> </w:t>
      </w:r>
      <w:r>
        <w:br/>
      </w:r>
      <w:r>
        <w:br/>
        <w:t xml:space="preserve">Bidding will close after the E-Rate 470 allowable contract window, minimum of 28 days after form 470 submission. </w:t>
      </w:r>
      <w:r w:rsidR="00AA0176">
        <w:t>If</w:t>
      </w:r>
      <w:r>
        <w:t xml:space="preserve"> too few bids are received after the 28-day waiting window, applicant may extend the bid deadline with appropriate notice to bidder(s). We reserve the right to reject late filed bids.</w:t>
      </w:r>
      <w:r>
        <w:br/>
      </w:r>
    </w:p>
    <w:p w14:paraId="6F661CFE" w14:textId="77777777" w:rsidR="00B04A88" w:rsidRDefault="00B04A88">
      <w:pPr>
        <w:spacing w:after="0"/>
        <w:ind w:left="0" w:right="3" w:firstLine="0"/>
      </w:pPr>
    </w:p>
    <w:p w14:paraId="3B732B8B" w14:textId="77777777" w:rsidR="00B04A88" w:rsidRDefault="005E1514">
      <w:pPr>
        <w:pStyle w:val="Heading1"/>
        <w:ind w:left="84" w:right="1" w:firstLine="73"/>
        <w:rPr>
          <w:u w:val="single"/>
        </w:rPr>
      </w:pPr>
      <w:r>
        <w:rPr>
          <w:u w:val="single"/>
        </w:rPr>
        <w:t>PART IV - FUNDING AND TIMELINE</w:t>
      </w:r>
    </w:p>
    <w:p w14:paraId="4C5A434B" w14:textId="77777777" w:rsidR="00B04A88" w:rsidRDefault="005E1514">
      <w:pPr>
        <w:ind w:left="0" w:right="3" w:firstLine="0"/>
        <w:rPr>
          <w:b/>
        </w:rPr>
      </w:pPr>
      <w:r>
        <w:rPr>
          <w:b/>
        </w:rPr>
        <w:t>Required Notice to Proceed and Funding Availability</w:t>
      </w:r>
    </w:p>
    <w:p w14:paraId="3DD47F3F" w14:textId="77777777" w:rsidR="00B04A88" w:rsidRDefault="005E1514">
      <w:pPr>
        <w:ind w:left="0" w:right="3" w:firstLine="0"/>
      </w:pPr>
      <w:r>
        <w:t xml:space="preserve">SFSD will follow the purchasing policies of the SFSD School Board of Education and requirements and procedures of the FCC’s E-rate program as administered by the Universal Service Administrative Company (USAC) to be eligible for all available funding. The implementation of any associated contracts resulting from this competitive bid process will be dependent on the district's issuance of a written Notice to Proceed. E-rate funding notification alone will not signify Notice to Proceed. </w:t>
      </w:r>
    </w:p>
    <w:p w14:paraId="1C22560D" w14:textId="77777777" w:rsidR="00B04A88" w:rsidRDefault="005E1514">
      <w:pPr>
        <w:ind w:left="0" w:right="3" w:firstLine="0"/>
      </w:pPr>
      <w:r>
        <w:t>The district will have the right to allow the contract to expire without implementation if appropriate funding does not become available.</w:t>
      </w:r>
    </w:p>
    <w:p w14:paraId="6C4BF31B" w14:textId="77777777" w:rsidR="00B04A88" w:rsidRDefault="005E1514">
      <w:pPr>
        <w:ind w:left="0" w:right="3" w:firstLine="0"/>
        <w:rPr>
          <w:b/>
        </w:rPr>
      </w:pPr>
      <w:r>
        <w:rPr>
          <w:b/>
        </w:rPr>
        <w:t>Timeline</w:t>
      </w:r>
    </w:p>
    <w:p w14:paraId="38BA5077" w14:textId="07DD6EA7" w:rsidR="00B04A88" w:rsidRDefault="005E1514">
      <w:pPr>
        <w:ind w:left="0" w:right="3" w:firstLine="0"/>
        <w:rPr>
          <w:highlight w:val="yellow"/>
        </w:rPr>
      </w:pPr>
      <w:r>
        <w:rPr>
          <w:highlight w:val="yellow"/>
        </w:rPr>
        <w:t xml:space="preserve">All equipment should be delivered to the district by </w:t>
      </w:r>
      <w:r w:rsidR="00AA0176" w:rsidRPr="00AC205A">
        <w:rPr>
          <w:b/>
          <w:highlight w:val="cyan"/>
        </w:rPr>
        <w:t>September</w:t>
      </w:r>
      <w:r w:rsidRPr="00AC205A">
        <w:rPr>
          <w:b/>
          <w:highlight w:val="cyan"/>
        </w:rPr>
        <w:t xml:space="preserve"> </w:t>
      </w:r>
      <w:r w:rsidR="00AA0176" w:rsidRPr="00AC205A">
        <w:rPr>
          <w:b/>
          <w:highlight w:val="cyan"/>
        </w:rPr>
        <w:t>30</w:t>
      </w:r>
      <w:r w:rsidRPr="00AC205A">
        <w:rPr>
          <w:b/>
          <w:highlight w:val="cyan"/>
        </w:rPr>
        <w:t>t</w:t>
      </w:r>
      <w:r w:rsidR="00AA0176" w:rsidRPr="00AC205A">
        <w:rPr>
          <w:b/>
          <w:highlight w:val="cyan"/>
        </w:rPr>
        <w:t>h</w:t>
      </w:r>
      <w:r w:rsidRPr="00AC205A">
        <w:rPr>
          <w:b/>
          <w:highlight w:val="cyan"/>
        </w:rPr>
        <w:t>, 202</w:t>
      </w:r>
      <w:r w:rsidR="00AA0176" w:rsidRPr="00AC205A">
        <w:rPr>
          <w:b/>
          <w:highlight w:val="cyan"/>
        </w:rPr>
        <w:t>5</w:t>
      </w:r>
      <w:r w:rsidRPr="00AC205A">
        <w:rPr>
          <w:highlight w:val="cyan"/>
        </w:rPr>
        <w:t xml:space="preserve"> </w:t>
      </w:r>
      <w:r>
        <w:rPr>
          <w:highlight w:val="yellow"/>
        </w:rPr>
        <w:t>to meet district implementation goals (pending USAC application approval).</w:t>
      </w:r>
    </w:p>
    <w:sectPr w:rsidR="00B04A88">
      <w:headerReference w:type="default" r:id="rId16"/>
      <w:footerReference w:type="default" r:id="rId17"/>
      <w:pgSz w:w="12240" w:h="15840"/>
      <w:pgMar w:top="1488" w:right="1514" w:bottom="144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C860" w14:textId="77777777" w:rsidR="00CB0AB8" w:rsidRDefault="00CB0AB8">
      <w:pPr>
        <w:spacing w:after="0" w:line="240" w:lineRule="auto"/>
      </w:pPr>
      <w:r>
        <w:separator/>
      </w:r>
    </w:p>
  </w:endnote>
  <w:endnote w:type="continuationSeparator" w:id="0">
    <w:p w14:paraId="682A7CF1" w14:textId="77777777" w:rsidR="00CB0AB8" w:rsidRDefault="00CB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859C" w14:textId="6D8810A7" w:rsidR="00B04A88" w:rsidRDefault="005E1514">
    <w:pPr>
      <w:pBdr>
        <w:top w:val="nil"/>
        <w:left w:val="nil"/>
        <w:bottom w:val="nil"/>
        <w:right w:val="nil"/>
        <w:between w:val="nil"/>
      </w:pBdr>
      <w:tabs>
        <w:tab w:val="center" w:pos="4680"/>
        <w:tab w:val="right" w:pos="9360"/>
      </w:tabs>
      <w:spacing w:after="0" w:line="240" w:lineRule="auto"/>
      <w:jc w:val="center"/>
    </w:pPr>
    <w:r>
      <w:t>202</w:t>
    </w:r>
    <w:r w:rsidR="00AA0176">
      <w:t>4</w:t>
    </w:r>
    <w:r>
      <w:t xml:space="preserve"> SFSD Category 2 E-Rate Network Equipment Solutions</w:t>
    </w:r>
  </w:p>
  <w:p w14:paraId="1970B759" w14:textId="77777777" w:rsidR="00B04A88" w:rsidRDefault="005E1514">
    <w:pPr>
      <w:pBdr>
        <w:top w:val="nil"/>
        <w:left w:val="nil"/>
        <w:bottom w:val="nil"/>
        <w:right w:val="nil"/>
        <w:between w:val="nil"/>
      </w:pBdr>
      <w:tabs>
        <w:tab w:val="center" w:pos="4680"/>
        <w:tab w:val="right" w:pos="9360"/>
      </w:tabs>
      <w:spacing w:after="0" w:line="240" w:lineRule="auto"/>
      <w:jc w:val="right"/>
    </w:pPr>
    <w:r>
      <w:t xml:space="preserve">Page </w:t>
    </w:r>
    <w:r>
      <w:rPr>
        <w:b/>
      </w:rPr>
      <w:fldChar w:fldCharType="begin"/>
    </w:r>
    <w:r>
      <w:rPr>
        <w:b/>
      </w:rPr>
      <w:instrText>PAGE</w:instrText>
    </w:r>
    <w:r>
      <w:rPr>
        <w:b/>
      </w:rPr>
      <w:fldChar w:fldCharType="separate"/>
    </w:r>
    <w:r w:rsidR="00F84BDB">
      <w:rPr>
        <w:b/>
        <w:noProof/>
      </w:rPr>
      <w:t>2</w:t>
    </w:r>
    <w:r>
      <w:rPr>
        <w:b/>
      </w:rPr>
      <w:fldChar w:fldCharType="end"/>
    </w:r>
    <w:r>
      <w:t xml:space="preserve"> of </w:t>
    </w:r>
    <w:r>
      <w:rPr>
        <w:b/>
      </w:rPr>
      <w:fldChar w:fldCharType="begin"/>
    </w:r>
    <w:r>
      <w:rPr>
        <w:b/>
      </w:rPr>
      <w:instrText>NUMPAGES</w:instrText>
    </w:r>
    <w:r>
      <w:rPr>
        <w:b/>
      </w:rPr>
      <w:fldChar w:fldCharType="separate"/>
    </w:r>
    <w:r w:rsidR="00F84BDB">
      <w:rPr>
        <w:b/>
        <w:noProof/>
      </w:rPr>
      <w:t>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C9F4" w14:textId="77777777" w:rsidR="00CB0AB8" w:rsidRDefault="00CB0AB8">
      <w:pPr>
        <w:spacing w:after="0" w:line="240" w:lineRule="auto"/>
      </w:pPr>
      <w:r>
        <w:separator/>
      </w:r>
    </w:p>
  </w:footnote>
  <w:footnote w:type="continuationSeparator" w:id="0">
    <w:p w14:paraId="3D9865D5" w14:textId="77777777" w:rsidR="00CB0AB8" w:rsidRDefault="00CB0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CAA4" w14:textId="1863D2B5" w:rsidR="00B04A88" w:rsidRDefault="005E1514">
    <w:pPr>
      <w:pStyle w:val="Heading1"/>
      <w:rPr>
        <w:sz w:val="32"/>
        <w:szCs w:val="32"/>
      </w:rPr>
    </w:pPr>
    <w:r>
      <w:rPr>
        <w:sz w:val="32"/>
        <w:szCs w:val="32"/>
      </w:rPr>
      <w:t>202</w:t>
    </w:r>
    <w:r w:rsidR="00AA0176">
      <w:rPr>
        <w:sz w:val="32"/>
        <w:szCs w:val="32"/>
      </w:rPr>
      <w:t>4</w:t>
    </w:r>
    <w:r>
      <w:rPr>
        <w:sz w:val="32"/>
        <w:szCs w:val="32"/>
      </w:rPr>
      <w:t xml:space="preserve"> SFSD C2 Network Equipment – v</w:t>
    </w:r>
    <w:r w:rsidR="008159A5">
      <w:rPr>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896"/>
    <w:multiLevelType w:val="multilevel"/>
    <w:tmpl w:val="B2109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F35628"/>
    <w:multiLevelType w:val="hybridMultilevel"/>
    <w:tmpl w:val="6AF49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71CDE"/>
    <w:multiLevelType w:val="hybridMultilevel"/>
    <w:tmpl w:val="58484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6C4A94"/>
    <w:multiLevelType w:val="multilevel"/>
    <w:tmpl w:val="87F6757C"/>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4" w15:restartNumberingAfterBreak="0">
    <w:nsid w:val="71550E86"/>
    <w:multiLevelType w:val="multilevel"/>
    <w:tmpl w:val="AEFC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188773">
    <w:abstractNumId w:val="0"/>
  </w:num>
  <w:num w:numId="2" w16cid:durableId="1509178688">
    <w:abstractNumId w:val="4"/>
  </w:num>
  <w:num w:numId="3" w16cid:durableId="1327787756">
    <w:abstractNumId w:val="3"/>
  </w:num>
  <w:num w:numId="4" w16cid:durableId="587152124">
    <w:abstractNumId w:val="1"/>
  </w:num>
  <w:num w:numId="5" w16cid:durableId="14429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A88"/>
    <w:rsid w:val="0012439F"/>
    <w:rsid w:val="0030180B"/>
    <w:rsid w:val="005E1514"/>
    <w:rsid w:val="008159A5"/>
    <w:rsid w:val="00AA0176"/>
    <w:rsid w:val="00AC205A"/>
    <w:rsid w:val="00B04A88"/>
    <w:rsid w:val="00CB0AB8"/>
    <w:rsid w:val="00E222ED"/>
    <w:rsid w:val="00F8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342A"/>
  <w15:docId w15:val="{060E6DE6-A3E5-4727-B401-4FE95E84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323" w:line="271"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unhideWhenUsed/>
    <w:qFormat/>
    <w:pPr>
      <w:keepNext/>
      <w:keepLines/>
      <w:spacing w:after="330" w:line="265" w:lineRule="auto"/>
      <w:ind w:left="83" w:hanging="10"/>
      <w:jc w:val="center"/>
      <w:outlineLvl w:val="0"/>
    </w:pPr>
    <w:rPr>
      <w:b/>
      <w:color w:val="000000"/>
    </w:rPr>
  </w:style>
  <w:style w:type="paragraph" w:styleId="Heading2">
    <w:name w:val="heading 2"/>
    <w:basedOn w:val="Normal"/>
    <w:next w:val="Normal"/>
    <w:link w:val="Heading2Char"/>
    <w:uiPriority w:val="9"/>
    <w:unhideWhenUsed/>
    <w:qFormat/>
    <w:rsid w:val="00FC2C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2C8B"/>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C2C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C2C8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C2C8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C2C8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C2C8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C2C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A6162"/>
    <w:pPr>
      <w:ind w:left="720"/>
      <w:contextualSpacing/>
    </w:pPr>
  </w:style>
  <w:style w:type="table" w:styleId="TableGrid0">
    <w:name w:val="Table Grid"/>
    <w:basedOn w:val="TableNormal"/>
    <w:uiPriority w:val="39"/>
    <w:rsid w:val="0041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9BE"/>
    <w:rPr>
      <w:color w:val="0000FF"/>
      <w:u w:val="single"/>
    </w:rPr>
  </w:style>
  <w:style w:type="character" w:customStyle="1" w:styleId="part-number">
    <w:name w:val="part-number"/>
    <w:basedOn w:val="DefaultParagraphFont"/>
    <w:rsid w:val="003C5E66"/>
  </w:style>
  <w:style w:type="character" w:customStyle="1" w:styleId="mpn">
    <w:name w:val="mpn"/>
    <w:basedOn w:val="DefaultParagraphFont"/>
    <w:rsid w:val="003C5E66"/>
  </w:style>
  <w:style w:type="character" w:customStyle="1" w:styleId="UnresolvedMention1">
    <w:name w:val="Unresolved Mention1"/>
    <w:basedOn w:val="DefaultParagraphFont"/>
    <w:uiPriority w:val="99"/>
    <w:semiHidden/>
    <w:unhideWhenUsed/>
    <w:rsid w:val="00C06856"/>
    <w:rPr>
      <w:color w:val="605E5C"/>
      <w:shd w:val="clear" w:color="auto" w:fill="E1DFDD"/>
    </w:rPr>
  </w:style>
  <w:style w:type="paragraph" w:styleId="Header">
    <w:name w:val="header"/>
    <w:basedOn w:val="Normal"/>
    <w:link w:val="HeaderChar"/>
    <w:uiPriority w:val="99"/>
    <w:unhideWhenUsed/>
    <w:rsid w:val="00036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B5E"/>
    <w:rPr>
      <w:rFonts w:ascii="Arial" w:eastAsia="Arial" w:hAnsi="Arial" w:cs="Arial"/>
      <w:color w:val="000000"/>
      <w:sz w:val="24"/>
    </w:rPr>
  </w:style>
  <w:style w:type="paragraph" w:styleId="Footer">
    <w:name w:val="footer"/>
    <w:basedOn w:val="Normal"/>
    <w:link w:val="FooterChar"/>
    <w:uiPriority w:val="99"/>
    <w:unhideWhenUsed/>
    <w:rsid w:val="00036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B5E"/>
    <w:rPr>
      <w:rFonts w:ascii="Arial" w:eastAsia="Arial" w:hAnsi="Arial" w:cs="Arial"/>
      <w:color w:val="000000"/>
      <w:sz w:val="24"/>
    </w:rPr>
  </w:style>
  <w:style w:type="character" w:styleId="IntenseEmphasis">
    <w:name w:val="Intense Emphasis"/>
    <w:basedOn w:val="DefaultParagraphFont"/>
    <w:uiPriority w:val="21"/>
    <w:qFormat/>
    <w:rsid w:val="00092CCC"/>
    <w:rPr>
      <w:b/>
      <w:bCs/>
      <w:i/>
      <w:iCs/>
      <w:color w:val="5B9BD5" w:themeColor="accent1"/>
    </w:rPr>
  </w:style>
  <w:style w:type="character" w:customStyle="1" w:styleId="UnresolvedMention2">
    <w:name w:val="Unresolved Mention2"/>
    <w:basedOn w:val="DefaultParagraphFont"/>
    <w:uiPriority w:val="99"/>
    <w:semiHidden/>
    <w:unhideWhenUsed/>
    <w:rsid w:val="00570F13"/>
    <w:rPr>
      <w:color w:val="605E5C"/>
      <w:shd w:val="clear" w:color="auto" w:fill="E1DFDD"/>
    </w:rPr>
  </w:style>
  <w:style w:type="character" w:styleId="FollowedHyperlink">
    <w:name w:val="FollowedHyperlink"/>
    <w:basedOn w:val="DefaultParagraphFont"/>
    <w:uiPriority w:val="99"/>
    <w:semiHidden/>
    <w:unhideWhenUsed/>
    <w:rsid w:val="00D10072"/>
    <w:rPr>
      <w:color w:val="954F72" w:themeColor="followedHyperlink"/>
      <w:u w:val="single"/>
    </w:rPr>
  </w:style>
  <w:style w:type="paragraph" w:styleId="BalloonText">
    <w:name w:val="Balloon Text"/>
    <w:basedOn w:val="Normal"/>
    <w:link w:val="BalloonTextChar"/>
    <w:uiPriority w:val="99"/>
    <w:semiHidden/>
    <w:unhideWhenUsed/>
    <w:rsid w:val="00B52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75"/>
    <w:rPr>
      <w:rFonts w:ascii="Segoe UI" w:eastAsia="Arial" w:hAnsi="Segoe UI" w:cs="Segoe UI"/>
      <w:color w:val="000000"/>
      <w:sz w:val="18"/>
      <w:szCs w:val="18"/>
    </w:rPr>
  </w:style>
  <w:style w:type="character" w:customStyle="1" w:styleId="Heading2Char">
    <w:name w:val="Heading 2 Char"/>
    <w:basedOn w:val="DefaultParagraphFont"/>
    <w:link w:val="Heading2"/>
    <w:uiPriority w:val="9"/>
    <w:rsid w:val="00FC2C8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C2C8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C2C8B"/>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FC2C8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FC2C8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FC2C8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rsid w:val="00FC2C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C2C8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FC2C8B"/>
    <w:pPr>
      <w:spacing w:after="0" w:line="240" w:lineRule="auto"/>
      <w:ind w:hanging="10"/>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top w:w="159" w:type="dxa"/>
        <w:left w:w="10" w:type="dxa"/>
        <w:right w:w="115" w:type="dxa"/>
      </w:tblCellMar>
    </w:tblPr>
  </w:style>
  <w:style w:type="table" w:customStyle="1" w:styleId="a1">
    <w:basedOn w:val="TableNormal"/>
    <w:pPr>
      <w:spacing w:after="0" w:line="240" w:lineRule="auto"/>
    </w:pPr>
    <w:tblPr>
      <w:tblStyleRowBandSize w:val="1"/>
      <w:tblStyleColBandSize w:val="1"/>
      <w:tblCellMar>
        <w:top w:w="159" w:type="dxa"/>
        <w:left w:w="1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rate@silverfalls.k12.or.us" TargetMode="External"/><Relationship Id="rId13" Type="http://schemas.openxmlformats.org/officeDocument/2006/relationships/hyperlink" Target="https://docs.fcc.gov/public/attachments/FCC-19-121A1.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usac.org/e-rate/service-providers/step-2-responding-to-bids/lowest-corresponding-pr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niper.net/assets/us/en/local/pdf/datasheets/1000581-en.pdf" TargetMode="External"/><Relationship Id="rId5" Type="http://schemas.openxmlformats.org/officeDocument/2006/relationships/webSettings" Target="webSettings.xml"/><Relationship Id="rId15" Type="http://schemas.openxmlformats.org/officeDocument/2006/relationships/hyperlink" Target="mailto:erate@silverfalls.k12.or.us" TargetMode="External"/><Relationship Id="rId10" Type="http://schemas.openxmlformats.org/officeDocument/2006/relationships/hyperlink" Target="https://www.arubanetworks.com/assets/ds/DS_AP510Seri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ate@silverfalls.k12.or.us" TargetMode="External"/><Relationship Id="rId14" Type="http://schemas.openxmlformats.org/officeDocument/2006/relationships/hyperlink" Target="mailto:erate@silverfalls.k12.or.us"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a9vojDoSBLZHr9p4eTEFHEkw==">AMUW2mWvvgNPKZopZjr1onc1lMrI+A4FC273xLADc0u64qw43mN0JaKBv0/ZGWbnu6hjMCpPBfzJHuqIXVpHC19b9AinISqwiImZtcTRYxJeHxm7bu2WddQ0jErJ44V1mCmsdfgNneNz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56C53AF96D7D248A570D651E7F6BFD9" ma:contentTypeVersion="10" ma:contentTypeDescription="Create a new document." ma:contentTypeScope="" ma:versionID="ce1867b1b2c66d1b5d132d0926603064">
  <xsd:schema xmlns:xsd="http://www.w3.org/2001/XMLSchema" xmlns:xs="http://www.w3.org/2001/XMLSchema" xmlns:p="http://schemas.microsoft.com/office/2006/metadata/properties" xmlns:ns2="6e8a6122-2a64-4b1a-8d74-00a96c8f8b23" xmlns:ns3="57f7b5ec-d6f9-4586-b8f1-4bafa1e1a135" targetNamespace="http://schemas.microsoft.com/office/2006/metadata/properties" ma:root="true" ma:fieldsID="8bac785235a9cc7b20b945e7b4bf8f25" ns2:_="" ns3:_="">
    <xsd:import namespace="6e8a6122-2a64-4b1a-8d74-00a96c8f8b23"/>
    <xsd:import namespace="57f7b5ec-d6f9-4586-b8f1-4bafa1e1a13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a6122-2a64-4b1a-8d74-00a96c8f8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d159a68-fb5f-441a-8f19-c758d13814e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D74F1A-284B-448D-8387-2C2FAD12882A}" ma:internalName="TaxCatchAll" ma:showField="CatchAllData" ma:web="{050e4bb5-d9e4-42b6-bdc7-f083fda93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8a6122-2a64-4b1a-8d74-00a96c8f8b23">
      <Terms xmlns="http://schemas.microsoft.com/office/infopath/2007/PartnerControls"/>
    </lcf76f155ced4ddcb4097134ff3c332f>
    <TaxCatchAll xmlns="57f7b5ec-d6f9-4586-b8f1-4bafa1e1a135"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A4992A-D775-41A4-96E0-CBE120002CE2}"/>
</file>

<file path=customXml/itemProps3.xml><?xml version="1.0" encoding="utf-8"?>
<ds:datastoreItem xmlns:ds="http://schemas.openxmlformats.org/officeDocument/2006/customXml" ds:itemID="{0920150E-E56C-4A39-A873-4DD1A8A72800}"/>
</file>

<file path=customXml/itemProps4.xml><?xml version="1.0" encoding="utf-8"?>
<ds:datastoreItem xmlns:ds="http://schemas.openxmlformats.org/officeDocument/2006/customXml" ds:itemID="{09CD02F0-3A6B-4384-B22C-083C638FCC84}"/>
</file>

<file path=docProps/app.xml><?xml version="1.0" encoding="utf-8"?>
<Properties xmlns="http://schemas.openxmlformats.org/officeDocument/2006/extended-properties" xmlns:vt="http://schemas.openxmlformats.org/officeDocument/2006/docPropsVTypes">
  <Template>Normal.dotm</Template>
  <TotalTime>2</TotalTime>
  <Pages>6</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LBL ESD</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Stuck</dc:creator>
  <cp:lastModifiedBy>Brett Milliken</cp:lastModifiedBy>
  <cp:revision>4</cp:revision>
  <dcterms:created xsi:type="dcterms:W3CDTF">2024-02-02T18:11:00Z</dcterms:created>
  <dcterms:modified xsi:type="dcterms:W3CDTF">2024-02-02T18:14:00Z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0x010100356C53AF96D7D248A570D651E7F6BFD9</vt:lpwstr>
  </property>
</Properties>
</file>