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9138" w14:textId="742432DD" w:rsidR="01E5030B" w:rsidRDefault="01E5030B" w:rsidP="00C856A1">
      <w:pPr>
        <w:rPr>
          <w:color w:val="000000" w:themeColor="text1"/>
          <w:sz w:val="28"/>
          <w:szCs w:val="28"/>
        </w:rPr>
      </w:pPr>
      <w:bookmarkStart w:id="0" w:name="_GoBack"/>
      <w:bookmarkEnd w:id="0"/>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766DA2E9"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A12562">
            <w:rPr>
              <w:rStyle w:val="PlaceholderText"/>
            </w:rPr>
            <w:t>GAPS</w:t>
          </w:r>
          <w:r w:rsidR="006D2CF4">
            <w:rPr>
              <w:rStyle w:val="PlaceholderText"/>
            </w:rPr>
            <w:t>_</w:t>
          </w:r>
          <w:r w:rsidR="7763357E" w:rsidRPr="00BA67A7">
            <w:rPr>
              <w:rStyle w:val="PlaceholderText"/>
            </w:rPr>
            <w:t>FY202</w:t>
          </w:r>
          <w:r w:rsidR="00A12562">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A12562">
            <w:rPr>
              <w:rStyle w:val="PlaceholderText"/>
            </w:rPr>
            <w:t>CAB</w:t>
          </w:r>
          <w:r w:rsidR="00BA67A7" w:rsidRPr="00BA67A7">
            <w:rPr>
              <w:rFonts w:eastAsiaTheme="minorEastAsia"/>
              <w:color w:val="000000" w:themeColor="text1"/>
              <w:sz w:val="28"/>
              <w:szCs w:val="28"/>
            </w:rPr>
            <w:t xml:space="preserve"> </w:t>
          </w:r>
        </w:sdtContent>
      </w:sdt>
    </w:p>
    <w:p w14:paraId="672A6659" w14:textId="07640F5B"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B3106E">
            <w:rPr>
              <w:b/>
              <w:bCs/>
              <w:color w:val="000000" w:themeColor="text1"/>
            </w:rPr>
            <w:t>2024</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 xml:space="preserve">POINT OF DEMARCATION (Demarc):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t>OBJECTIVE</w:t>
      </w:r>
      <w:bookmarkEnd w:id="2"/>
    </w:p>
    <w:p w14:paraId="7319EA84" w14:textId="523EEF63" w:rsidR="00E11FD0" w:rsidRPr="007A5672" w:rsidRDefault="00952F1D">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B3106E" w:rsidRPr="00A12562">
            <w:rPr>
              <w:rFonts w:eastAsia="Arial" w:cstheme="minorHAnsi"/>
              <w:color w:val="000000" w:themeColor="text1"/>
            </w:rPr>
            <w:t>Greater Albany</w:t>
          </w:r>
          <w:r w:rsidR="006A395E" w:rsidRPr="00A12562">
            <w:rPr>
              <w:rFonts w:eastAsia="Arial" w:cstheme="minorHAnsi"/>
              <w:color w:val="000000" w:themeColor="text1"/>
            </w:rPr>
            <w:t xml:space="preserve">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F070F5" w14:paraId="044AC2C9" w14:textId="77777777" w:rsidTr="38604640">
        <w:tc>
          <w:tcPr>
            <w:tcW w:w="2460" w:type="dxa"/>
          </w:tcPr>
          <w:p w14:paraId="47C2FEDE" w14:textId="5B368246" w:rsidR="00DE6BBC" w:rsidRPr="00F070F5" w:rsidRDefault="00DE6BBC" w:rsidP="00DE6BBC">
            <w:pPr>
              <w:pStyle w:val="NoSpacing"/>
              <w:rPr>
                <w:rFonts w:cstheme="minorHAnsi"/>
                <w:b/>
              </w:rPr>
            </w:pPr>
            <w:r w:rsidRPr="00F070F5">
              <w:rPr>
                <w:rFonts w:cstheme="minorHAnsi"/>
                <w:b/>
              </w:rPr>
              <w:t>Issue Date:</w:t>
            </w:r>
          </w:p>
        </w:tc>
        <w:tc>
          <w:tcPr>
            <w:tcW w:w="6890" w:type="dxa"/>
            <w:tcBorders>
              <w:bottom w:val="single" w:sz="4" w:space="0" w:color="auto"/>
            </w:tcBorders>
          </w:tcPr>
          <w:p w14:paraId="054D2FC1" w14:textId="4CC7AC72" w:rsidR="00DE6BBC" w:rsidRPr="00F070F5" w:rsidRDefault="00F070F5" w:rsidP="00DE6BBC">
            <w:pPr>
              <w:pStyle w:val="NoSpacing"/>
              <w:rPr>
                <w:rFonts w:cstheme="minorHAnsi"/>
                <w:color w:val="FF0000"/>
              </w:rPr>
            </w:pPr>
            <w:r>
              <w:rPr>
                <w:rFonts w:cstheme="minorHAnsi"/>
              </w:rPr>
              <w:t>12/13/2023</w:t>
            </w:r>
          </w:p>
        </w:tc>
      </w:tr>
      <w:tr w:rsidR="00DE6BBC" w:rsidRPr="00F070F5" w14:paraId="1F82515A" w14:textId="77777777" w:rsidTr="38604640">
        <w:tc>
          <w:tcPr>
            <w:tcW w:w="2460" w:type="dxa"/>
          </w:tcPr>
          <w:p w14:paraId="6CBE8D95" w14:textId="7A9AC2DE" w:rsidR="00DE6BBC" w:rsidRPr="00F070F5" w:rsidRDefault="00DE6BBC" w:rsidP="00DE6BBC">
            <w:pPr>
              <w:pStyle w:val="NoSpacing"/>
              <w:rPr>
                <w:rFonts w:cstheme="minorHAnsi"/>
                <w:b/>
              </w:rPr>
            </w:pPr>
            <w:r w:rsidRPr="00F070F5">
              <w:rPr>
                <w:rFonts w:cstheme="minorHAnsi"/>
                <w:b/>
              </w:rPr>
              <w:t>Questions Due Before:</w:t>
            </w:r>
          </w:p>
        </w:tc>
        <w:tc>
          <w:tcPr>
            <w:tcW w:w="6890" w:type="dxa"/>
            <w:tcBorders>
              <w:top w:val="single" w:sz="4" w:space="0" w:color="auto"/>
              <w:bottom w:val="single" w:sz="4" w:space="0" w:color="auto"/>
            </w:tcBorders>
          </w:tcPr>
          <w:p w14:paraId="2849736B" w14:textId="4339EE0D" w:rsidR="00DE6BBC" w:rsidRPr="00F070F5" w:rsidRDefault="00F070F5" w:rsidP="00DE6BBC">
            <w:pPr>
              <w:pStyle w:val="NoSpacing"/>
              <w:rPr>
                <w:rFonts w:cstheme="minorHAnsi"/>
              </w:rPr>
            </w:pPr>
            <w:r w:rsidRPr="00F070F5">
              <w:rPr>
                <w:rFonts w:cstheme="minorHAnsi"/>
              </w:rPr>
              <w:t>1/0</w:t>
            </w:r>
            <w:r>
              <w:rPr>
                <w:rFonts w:cstheme="minorHAnsi"/>
              </w:rPr>
              <w:t>5</w:t>
            </w:r>
            <w:r w:rsidRPr="00F070F5">
              <w:rPr>
                <w:rFonts w:cstheme="minorHAnsi"/>
              </w:rPr>
              <w:t>/2024</w:t>
            </w:r>
          </w:p>
        </w:tc>
      </w:tr>
      <w:tr w:rsidR="00DE6BBC" w:rsidRPr="00F070F5" w14:paraId="6F2DC1C9" w14:textId="77777777" w:rsidTr="38604640">
        <w:tc>
          <w:tcPr>
            <w:tcW w:w="2460" w:type="dxa"/>
          </w:tcPr>
          <w:p w14:paraId="22672C08" w14:textId="58388592" w:rsidR="00DE6BBC" w:rsidRPr="00F070F5" w:rsidRDefault="00DE6BBC" w:rsidP="00DE6BBC">
            <w:pPr>
              <w:pStyle w:val="NoSpacing"/>
              <w:rPr>
                <w:rFonts w:cstheme="minorHAnsi"/>
                <w:b/>
              </w:rPr>
            </w:pPr>
            <w:r w:rsidRPr="00F070F5">
              <w:rPr>
                <w:rFonts w:cstheme="minorHAnsi"/>
                <w:b/>
              </w:rPr>
              <w:t>Responses Due:</w:t>
            </w:r>
          </w:p>
        </w:tc>
        <w:tc>
          <w:tcPr>
            <w:tcW w:w="6890" w:type="dxa"/>
            <w:tcBorders>
              <w:top w:val="single" w:sz="4" w:space="0" w:color="auto"/>
              <w:bottom w:val="single" w:sz="4" w:space="0" w:color="auto"/>
            </w:tcBorders>
          </w:tcPr>
          <w:p w14:paraId="07EE7232" w14:textId="5F657F10" w:rsidR="00DE6BBC" w:rsidRPr="00F070F5" w:rsidRDefault="00F070F5" w:rsidP="00DE6BBC">
            <w:pPr>
              <w:pStyle w:val="NoSpacing"/>
              <w:rPr>
                <w:rFonts w:cstheme="minorHAnsi"/>
              </w:rPr>
            </w:pPr>
            <w:r w:rsidRPr="00F070F5">
              <w:rPr>
                <w:rFonts w:cstheme="minorHAnsi"/>
              </w:rPr>
              <w:t>1/10/2024</w:t>
            </w:r>
          </w:p>
        </w:tc>
      </w:tr>
    </w:tbl>
    <w:p w14:paraId="6A05A809" w14:textId="77777777" w:rsidR="00DC42D7" w:rsidRDefault="00DC42D7" w:rsidP="00DC42D7">
      <w:pPr>
        <w:rPr>
          <w:rFonts w:cstheme="minorHAnsi"/>
          <w:b/>
          <w:bCs/>
        </w:rPr>
      </w:pPr>
    </w:p>
    <w:p w14:paraId="0566B770" w14:textId="77777777" w:rsidR="00CB6013" w:rsidRPr="00A12562" w:rsidRDefault="00CB6013" w:rsidP="00C84039">
      <w:pPr>
        <w:pStyle w:val="Heading1"/>
        <w:rPr>
          <w:color w:val="auto"/>
        </w:rPr>
      </w:pPr>
      <w:bookmarkStart w:id="4" w:name="_Toc67983258"/>
      <w:r w:rsidRPr="00A12562">
        <w:rPr>
          <w:color w:val="auto"/>
        </w:rPr>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7099"/>
      </w:tblGrid>
      <w:tr w:rsidR="00A12562" w:rsidRPr="00A12562" w14:paraId="117B20D4" w14:textId="77777777" w:rsidTr="38604640">
        <w:tc>
          <w:tcPr>
            <w:tcW w:w="2280" w:type="dxa"/>
          </w:tcPr>
          <w:p w14:paraId="51159FD9" w14:textId="45A2C664" w:rsidR="00F05D9F" w:rsidRPr="00A12562" w:rsidRDefault="00BA67A7" w:rsidP="00F05D9F">
            <w:pPr>
              <w:rPr>
                <w:rFonts w:cstheme="minorHAnsi"/>
                <w:b/>
              </w:rPr>
            </w:pPr>
            <w:r w:rsidRPr="00A12562">
              <w:rPr>
                <w:rFonts w:cstheme="minorHAnsi"/>
                <w:b/>
              </w:rPr>
              <w:t>District</w:t>
            </w:r>
            <w:r w:rsidR="00F05D9F" w:rsidRPr="00A12562">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24336251" w:rsidR="00F05D9F" w:rsidRPr="00A12562" w:rsidRDefault="00B3106E" w:rsidP="00B3106E">
                <w:pPr>
                  <w:rPr>
                    <w:rFonts w:cstheme="minorHAnsi"/>
                  </w:rPr>
                </w:pPr>
                <w:r w:rsidRPr="00A12562">
                  <w:rPr>
                    <w:rFonts w:cstheme="minorHAnsi"/>
                  </w:rPr>
                  <w:t>Greater Albany Public Schools</w:t>
                </w:r>
              </w:p>
            </w:tc>
          </w:sdtContent>
        </w:sdt>
      </w:tr>
      <w:tr w:rsidR="00A12562" w:rsidRPr="00A12562" w14:paraId="4C1733EB" w14:textId="77777777" w:rsidTr="38604640">
        <w:tc>
          <w:tcPr>
            <w:tcW w:w="2280" w:type="dxa"/>
          </w:tcPr>
          <w:p w14:paraId="7DA5E01A" w14:textId="77777777" w:rsidR="00F05D9F" w:rsidRPr="00A12562" w:rsidRDefault="00F05D9F" w:rsidP="00F05D9F">
            <w:pPr>
              <w:rPr>
                <w:rFonts w:cstheme="minorHAnsi"/>
                <w:b/>
              </w:rPr>
            </w:pPr>
            <w:r w:rsidRPr="00A12562">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039BA7AC" w:rsidR="00F05D9F" w:rsidRPr="00A12562" w:rsidRDefault="00B3106E" w:rsidP="00B3106E">
                <w:pPr>
                  <w:rPr>
                    <w:rFonts w:cstheme="minorHAnsi"/>
                  </w:rPr>
                </w:pPr>
                <w:r w:rsidRPr="00A12562">
                  <w:rPr>
                    <w:rFonts w:cstheme="minorHAnsi"/>
                  </w:rPr>
                  <w:t>144935</w:t>
                </w:r>
              </w:p>
            </w:tc>
          </w:sdtContent>
        </w:sdt>
      </w:tr>
      <w:tr w:rsidR="00A12562" w:rsidRPr="00A12562" w14:paraId="51757E62" w14:textId="77777777" w:rsidTr="38604640">
        <w:tc>
          <w:tcPr>
            <w:tcW w:w="2280" w:type="dxa"/>
          </w:tcPr>
          <w:p w14:paraId="72EC71E8" w14:textId="2CADFF4E" w:rsidR="00F05D9F" w:rsidRPr="00A12562" w:rsidRDefault="00F05D9F" w:rsidP="00F05D9F">
            <w:pPr>
              <w:rPr>
                <w:rFonts w:cstheme="minorHAnsi"/>
                <w:b/>
              </w:rPr>
            </w:pPr>
            <w:r w:rsidRPr="00A12562">
              <w:rPr>
                <w:rFonts w:cstheme="minorHAnsi"/>
                <w:b/>
              </w:rPr>
              <w:t>Cat 1</w:t>
            </w:r>
            <w:r w:rsidR="00DC089A" w:rsidRPr="00A12562">
              <w:rPr>
                <w:rFonts w:cstheme="minorHAnsi"/>
                <w:b/>
              </w:rPr>
              <w:t xml:space="preserve"> </w:t>
            </w:r>
            <w:r w:rsidRPr="00A12562">
              <w:rPr>
                <w:rFonts w:cstheme="minorHAnsi"/>
                <w:b/>
              </w:rPr>
              <w:t>Discount Rate:</w:t>
            </w:r>
          </w:p>
        </w:tc>
        <w:tc>
          <w:tcPr>
            <w:tcW w:w="7070" w:type="dxa"/>
            <w:tcBorders>
              <w:bottom w:val="single" w:sz="4" w:space="0" w:color="auto"/>
            </w:tcBorders>
          </w:tcPr>
          <w:p w14:paraId="418E11E4" w14:textId="2C790377" w:rsidR="00F05D9F" w:rsidRPr="00A12562" w:rsidRDefault="00BA67A7" w:rsidP="38604640">
            <w:r w:rsidRPr="00A12562">
              <w:t>TBD</w:t>
            </w:r>
          </w:p>
        </w:tc>
      </w:tr>
      <w:tr w:rsidR="00A12562" w:rsidRPr="00A12562" w14:paraId="69698234" w14:textId="77777777" w:rsidTr="38604640">
        <w:tc>
          <w:tcPr>
            <w:tcW w:w="2280" w:type="dxa"/>
          </w:tcPr>
          <w:p w14:paraId="05551BE4" w14:textId="77777777" w:rsidR="00F05D9F" w:rsidRPr="00A12562" w:rsidRDefault="6A2B6938" w:rsidP="38604640">
            <w:pPr>
              <w:rPr>
                <w:b/>
                <w:bCs/>
              </w:rPr>
            </w:pPr>
            <w:r w:rsidRPr="00A12562">
              <w:rPr>
                <w:b/>
                <w:bCs/>
              </w:rPr>
              <w:t>Cat 2 Discount Rate:</w:t>
            </w:r>
          </w:p>
        </w:tc>
        <w:tc>
          <w:tcPr>
            <w:tcW w:w="7070" w:type="dxa"/>
            <w:tcBorders>
              <w:top w:val="single" w:sz="4" w:space="0" w:color="auto"/>
              <w:bottom w:val="single" w:sz="4" w:space="0" w:color="auto"/>
            </w:tcBorders>
          </w:tcPr>
          <w:p w14:paraId="74B11058" w14:textId="09F1DEA8" w:rsidR="00F05D9F" w:rsidRPr="00A12562" w:rsidRDefault="00BA67A7" w:rsidP="38604640">
            <w:r w:rsidRPr="00A12562">
              <w:t>TBD</w:t>
            </w:r>
          </w:p>
        </w:tc>
      </w:tr>
      <w:tr w:rsidR="00A12562" w:rsidRPr="00A12562" w14:paraId="5031A5DD" w14:textId="77777777" w:rsidTr="38604640">
        <w:tc>
          <w:tcPr>
            <w:tcW w:w="2280" w:type="dxa"/>
          </w:tcPr>
          <w:p w14:paraId="385E5CC6" w14:textId="77777777" w:rsidR="00F05D9F" w:rsidRPr="00A12562" w:rsidRDefault="00F05D9F" w:rsidP="00F05D9F">
            <w:pPr>
              <w:rPr>
                <w:rFonts w:cstheme="minorHAnsi"/>
                <w:b/>
              </w:rPr>
            </w:pPr>
            <w:r w:rsidRPr="00A12562">
              <w:rPr>
                <w:rFonts w:cstheme="minorHAnsi"/>
                <w:b/>
              </w:rPr>
              <w:t>Address:</w:t>
            </w:r>
          </w:p>
        </w:tc>
        <w:tc>
          <w:tcPr>
            <w:tcW w:w="7070" w:type="dxa"/>
            <w:tcBorders>
              <w:top w:val="single" w:sz="4" w:space="0" w:color="auto"/>
              <w:bottom w:val="single" w:sz="4" w:space="0" w:color="auto"/>
            </w:tcBorders>
          </w:tcPr>
          <w:p w14:paraId="27539760" w14:textId="6F1B78F4" w:rsidR="00F05D9F" w:rsidRPr="00A12562" w:rsidRDefault="00B3106E" w:rsidP="38604640">
            <w:pPr>
              <w:spacing w:line="259" w:lineRule="auto"/>
              <w:rPr>
                <w:rFonts w:ascii="Calibri" w:eastAsia="Calibri" w:hAnsi="Calibri" w:cs="Calibri"/>
              </w:rPr>
            </w:pPr>
            <w:r w:rsidRPr="00A12562">
              <w:rPr>
                <w:rFonts w:ascii="Calibri" w:eastAsia="Calibri" w:hAnsi="Calibri" w:cs="Calibri"/>
              </w:rPr>
              <w:t>718 7</w:t>
            </w:r>
            <w:r w:rsidRPr="00A12562">
              <w:rPr>
                <w:rFonts w:ascii="Calibri" w:eastAsia="Calibri" w:hAnsi="Calibri" w:cs="Calibri"/>
                <w:vertAlign w:val="superscript"/>
              </w:rPr>
              <w:t>th</w:t>
            </w:r>
            <w:r w:rsidRPr="00A12562">
              <w:rPr>
                <w:rFonts w:ascii="Calibri" w:eastAsia="Calibri" w:hAnsi="Calibri" w:cs="Calibri"/>
              </w:rPr>
              <w:t xml:space="preserve"> Ave SW</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1F6E450A" w:rsidR="00F05D9F" w:rsidRPr="00BA67A7" w:rsidRDefault="00B3106E"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Albany, OR 97321-2320</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1F00D87C" w:rsidR="00F05D9F" w:rsidRPr="00BA67A7" w:rsidRDefault="00B3106E"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541-967-4501</w:t>
            </w:r>
          </w:p>
        </w:tc>
      </w:tr>
    </w:tbl>
    <w:p w14:paraId="0D0B940D" w14:textId="77777777" w:rsidR="00CB6013" w:rsidRPr="00BA67A7" w:rsidRDefault="00CB6013" w:rsidP="002B6C40">
      <w:pPr>
        <w:rPr>
          <w:rFonts w:cstheme="minorHAnsi"/>
          <w:sz w:val="28"/>
          <w:highlight w:val="yellow"/>
        </w:rPr>
      </w:pPr>
    </w:p>
    <w:p w14:paraId="523729E4" w14:textId="77777777" w:rsidR="00DC42D7" w:rsidRPr="00A12562" w:rsidRDefault="00DC42D7" w:rsidP="00C84039">
      <w:pPr>
        <w:pStyle w:val="Heading1"/>
      </w:pPr>
      <w:bookmarkStart w:id="5" w:name="_Toc67983259"/>
      <w:r w:rsidRPr="00A12562">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A12562" w14:paraId="3C94A38E" w14:textId="77777777" w:rsidTr="38604640">
        <w:tc>
          <w:tcPr>
            <w:tcW w:w="1710" w:type="dxa"/>
          </w:tcPr>
          <w:p w14:paraId="7B6F25B4" w14:textId="77777777" w:rsidR="00F05D9F" w:rsidRPr="00A12562" w:rsidRDefault="00F05D9F" w:rsidP="00F05D9F">
            <w:pPr>
              <w:rPr>
                <w:rFonts w:cstheme="minorHAnsi"/>
                <w:b/>
              </w:rPr>
            </w:pPr>
            <w:r w:rsidRPr="00A12562">
              <w:rPr>
                <w:rFonts w:cstheme="minorHAnsi"/>
                <w:b/>
              </w:rPr>
              <w:t>Contact Name:</w:t>
            </w:r>
          </w:p>
        </w:tc>
        <w:tc>
          <w:tcPr>
            <w:tcW w:w="7640" w:type="dxa"/>
            <w:tcBorders>
              <w:bottom w:val="single" w:sz="4" w:space="0" w:color="auto"/>
            </w:tcBorders>
          </w:tcPr>
          <w:p w14:paraId="270FC775" w14:textId="38B5D376" w:rsidR="00F05D9F" w:rsidRPr="00A12562" w:rsidRDefault="00B3106E" w:rsidP="38604640">
            <w:pPr>
              <w:rPr>
                <w:rFonts w:ascii="Arial" w:eastAsia="Arial" w:hAnsi="Arial" w:cs="Arial"/>
                <w:color w:val="222222"/>
              </w:rPr>
            </w:pPr>
            <w:r w:rsidRPr="00A12562">
              <w:rPr>
                <w:rFonts w:ascii="Arial" w:eastAsia="Arial" w:hAnsi="Arial" w:cs="Arial"/>
                <w:color w:val="222222"/>
              </w:rPr>
              <w:t>Leah Guilford</w:t>
            </w:r>
          </w:p>
        </w:tc>
      </w:tr>
      <w:tr w:rsidR="00F05D9F" w:rsidRPr="00A12562" w14:paraId="2D1F61DD" w14:textId="77777777" w:rsidTr="38604640">
        <w:tc>
          <w:tcPr>
            <w:tcW w:w="1710" w:type="dxa"/>
          </w:tcPr>
          <w:p w14:paraId="2702B4C6" w14:textId="77777777" w:rsidR="00F05D9F" w:rsidRPr="00A12562" w:rsidRDefault="00F05D9F" w:rsidP="00F05D9F">
            <w:pPr>
              <w:rPr>
                <w:rFonts w:cstheme="minorHAnsi"/>
                <w:b/>
              </w:rPr>
            </w:pPr>
            <w:r w:rsidRPr="00A12562">
              <w:rPr>
                <w:rFonts w:cstheme="minorHAnsi"/>
                <w:b/>
              </w:rPr>
              <w:t>Address:</w:t>
            </w:r>
          </w:p>
        </w:tc>
        <w:tc>
          <w:tcPr>
            <w:tcW w:w="7640" w:type="dxa"/>
            <w:tcBorders>
              <w:top w:val="single" w:sz="4" w:space="0" w:color="auto"/>
              <w:bottom w:val="single" w:sz="4" w:space="0" w:color="auto"/>
            </w:tcBorders>
          </w:tcPr>
          <w:p w14:paraId="6AB2EF2B" w14:textId="1F3D5322" w:rsidR="00F05D9F" w:rsidRPr="00A12562" w:rsidRDefault="00B3106E" w:rsidP="38604640">
            <w:pPr>
              <w:rPr>
                <w:rFonts w:ascii="Arial" w:eastAsia="Arial" w:hAnsi="Arial" w:cs="Arial"/>
                <w:color w:val="222222"/>
              </w:rPr>
            </w:pPr>
            <w:r w:rsidRPr="00A12562">
              <w:rPr>
                <w:rFonts w:ascii="Arial" w:eastAsia="Arial" w:hAnsi="Arial" w:cs="Arial"/>
                <w:color w:val="222222"/>
              </w:rPr>
              <w:t>3610 Grand Prairie Rd SE</w:t>
            </w:r>
          </w:p>
        </w:tc>
      </w:tr>
      <w:tr w:rsidR="00F05D9F" w:rsidRPr="00A12562" w14:paraId="0E27B00A" w14:textId="77777777" w:rsidTr="38604640">
        <w:tc>
          <w:tcPr>
            <w:tcW w:w="1710" w:type="dxa"/>
          </w:tcPr>
          <w:p w14:paraId="60061E4C" w14:textId="77777777" w:rsidR="00F05D9F" w:rsidRPr="00A12562" w:rsidRDefault="00F05D9F" w:rsidP="00F05D9F">
            <w:pPr>
              <w:rPr>
                <w:rFonts w:cstheme="minorHAnsi"/>
                <w:b/>
              </w:rPr>
            </w:pPr>
          </w:p>
        </w:tc>
        <w:tc>
          <w:tcPr>
            <w:tcW w:w="7640" w:type="dxa"/>
            <w:tcBorders>
              <w:top w:val="single" w:sz="4" w:space="0" w:color="auto"/>
              <w:bottom w:val="single" w:sz="4" w:space="0" w:color="auto"/>
            </w:tcBorders>
          </w:tcPr>
          <w:p w14:paraId="44EAFD9C" w14:textId="47475E08" w:rsidR="00F05D9F" w:rsidRPr="00A12562" w:rsidRDefault="00B3106E" w:rsidP="38604640">
            <w:pPr>
              <w:spacing w:line="259" w:lineRule="auto"/>
              <w:rPr>
                <w:rFonts w:ascii="Arial" w:eastAsia="Calibri" w:hAnsi="Arial" w:cs="Arial"/>
                <w:color w:val="000000" w:themeColor="text1"/>
              </w:rPr>
            </w:pPr>
            <w:r w:rsidRPr="00A12562">
              <w:rPr>
                <w:rFonts w:ascii="Arial" w:eastAsia="Calibri" w:hAnsi="Arial" w:cs="Arial"/>
                <w:color w:val="000000" w:themeColor="text1"/>
              </w:rPr>
              <w:t>Albany, Oregon 97322</w:t>
            </w:r>
          </w:p>
        </w:tc>
      </w:tr>
      <w:tr w:rsidR="00F05D9F" w:rsidRPr="00A12562" w14:paraId="6B6F2D48" w14:textId="77777777" w:rsidTr="38604640">
        <w:tc>
          <w:tcPr>
            <w:tcW w:w="1710" w:type="dxa"/>
          </w:tcPr>
          <w:p w14:paraId="1AC0ED91" w14:textId="77777777" w:rsidR="00F05D9F" w:rsidRPr="00A12562" w:rsidRDefault="6A2B6938" w:rsidP="38604640">
            <w:pPr>
              <w:rPr>
                <w:b/>
                <w:bCs/>
              </w:rPr>
            </w:pPr>
            <w:r w:rsidRPr="00A12562">
              <w:rPr>
                <w:b/>
                <w:bCs/>
              </w:rPr>
              <w:t>Telephone:</w:t>
            </w:r>
          </w:p>
        </w:tc>
        <w:tc>
          <w:tcPr>
            <w:tcW w:w="7640" w:type="dxa"/>
            <w:tcBorders>
              <w:top w:val="single" w:sz="4" w:space="0" w:color="auto"/>
              <w:bottom w:val="single" w:sz="4" w:space="0" w:color="auto"/>
            </w:tcBorders>
          </w:tcPr>
          <w:p w14:paraId="373008EA" w14:textId="0B0A85D4" w:rsidR="00F05D9F" w:rsidRPr="00A12562" w:rsidRDefault="00B3106E" w:rsidP="38604640">
            <w:r w:rsidRPr="00A12562">
              <w:t>541-917-3495</w:t>
            </w:r>
          </w:p>
        </w:tc>
      </w:tr>
      <w:tr w:rsidR="00F05D9F" w:rsidRPr="00747645" w14:paraId="6B63309C" w14:textId="77777777" w:rsidTr="38604640">
        <w:tc>
          <w:tcPr>
            <w:tcW w:w="1710" w:type="dxa"/>
          </w:tcPr>
          <w:p w14:paraId="084443D4" w14:textId="77777777" w:rsidR="00F05D9F" w:rsidRPr="00A12562" w:rsidRDefault="00F05D9F" w:rsidP="00F05D9F">
            <w:pPr>
              <w:rPr>
                <w:rFonts w:cstheme="minorHAnsi"/>
                <w:b/>
              </w:rPr>
            </w:pPr>
            <w:r w:rsidRPr="00A12562">
              <w:rPr>
                <w:rFonts w:cstheme="minorHAnsi"/>
                <w:b/>
              </w:rPr>
              <w:t>Email:</w:t>
            </w:r>
          </w:p>
        </w:tc>
        <w:tc>
          <w:tcPr>
            <w:tcW w:w="7640" w:type="dxa"/>
            <w:tcBorders>
              <w:top w:val="single" w:sz="4" w:space="0" w:color="auto"/>
              <w:bottom w:val="single" w:sz="4" w:space="0" w:color="auto"/>
            </w:tcBorders>
          </w:tcPr>
          <w:p w14:paraId="33384C1F" w14:textId="19814B33" w:rsidR="00F05D9F" w:rsidRPr="00747645" w:rsidRDefault="00B3106E" w:rsidP="38604640">
            <w:r w:rsidRPr="00A12562">
              <w:t>leah.guilford@albany.k12.or.us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t>E-RATE REQUIREMENTS</w:t>
      </w:r>
      <w:r>
        <w:br/>
      </w:r>
      <w:r w:rsidRPr="01E5030B">
        <w:rPr>
          <w:rStyle w:val="Heading2Char"/>
          <w:b/>
          <w:bCs/>
          <w:color w:val="auto"/>
        </w:rPr>
        <w:t>Work Contingent upon Funding</w:t>
      </w:r>
      <w:r w:rsidRPr="01E5030B">
        <w:rPr>
          <w:b/>
          <w:bCs/>
        </w:rPr>
        <w:t xml:space="preserve"> </w:t>
      </w:r>
      <w:r>
        <w:br/>
      </w:r>
      <w:r w:rsidRPr="01E5030B">
        <w:t>Work offered in this RFP may be contingent upon receiving a funding commitment from USAC for the specified services. If the funding request is denied, the project may canceled.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entities category two budget, the applicant may choose to select to only purchase products and services offered up to the amount remaining in the category two budget.  Information about E-rate category two budgets is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6" w:name="_Toc67983260"/>
      <w:r w:rsidRPr="002B6C40">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1E5030B">
        <w:rPr>
          <w:b/>
          <w:bCs/>
          <w:color w:val="auto"/>
        </w:rPr>
        <w:t>Partial Bids</w:t>
      </w:r>
      <w:bookmarkEnd w:id="11"/>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3" w:name="_Int_5oQBeIoc"/>
      <w:r w:rsidRPr="01E5030B">
        <w:rPr>
          <w:rFonts w:ascii="Calibri" w:eastAsia="Calibri" w:hAnsi="Calibri" w:cs="Calibri"/>
          <w:color w:val="000000" w:themeColor="text1"/>
        </w:rPr>
        <w:t>The proposal does not include the eligibility percentage of each product and/or service listed.</w:t>
      </w:r>
      <w:bookmarkEnd w:id="13"/>
    </w:p>
    <w:p w14:paraId="069A1450" w14:textId="1DF0B84E" w:rsidR="56E0EB1C" w:rsidRDefault="56E0EB1C" w:rsidP="01E5030B">
      <w:pPr>
        <w:ind w:left="720"/>
        <w:rPr>
          <w:rFonts w:ascii="Calibri" w:eastAsia="Calibri" w:hAnsi="Calibri" w:cs="Calibri"/>
          <w:color w:val="000000" w:themeColor="text1"/>
        </w:rPr>
      </w:pPr>
      <w:bookmarkStart w:id="14"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4"/>
    </w:p>
    <w:p w14:paraId="32E698D9" w14:textId="3AE2C1E7" w:rsidR="01E5030B" w:rsidRDefault="01E5030B" w:rsidP="01E5030B">
      <w:pPr>
        <w:ind w:left="720"/>
        <w:rPr>
          <w:rFonts w:ascii="Calibri" w:eastAsia="Calibri" w:hAnsi="Calibri" w:cs="Calibri"/>
          <w:color w:val="000000" w:themeColor="text1"/>
          <w:highlight w:val="yellow"/>
        </w:rPr>
      </w:pPr>
    </w:p>
    <w:p w14:paraId="336CB1A6" w14:textId="77777777" w:rsidR="002B0D13" w:rsidRPr="00C84039" w:rsidRDefault="002B0D13" w:rsidP="002B0D13">
      <w:pPr>
        <w:pStyle w:val="Heading2"/>
        <w:rPr>
          <w:b/>
          <w:color w:val="auto"/>
        </w:rPr>
      </w:pPr>
      <w:bookmarkStart w:id="15" w:name="_Toc67983267"/>
      <w:r w:rsidRPr="00C84039">
        <w:rPr>
          <w:b/>
          <w:color w:val="auto"/>
        </w:rPr>
        <w:t>Addenda to Solicitation</w:t>
      </w:r>
      <w:bookmarkEnd w:id="15"/>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6" w:name="_Toc67983268"/>
            <w:r w:rsidRPr="00C84039">
              <w:rPr>
                <w:b/>
                <w:color w:val="auto"/>
              </w:rPr>
              <w:t>Confirm your understanding of the</w:t>
            </w:r>
            <w:r>
              <w:rPr>
                <w:b/>
                <w:color w:val="auto"/>
              </w:rPr>
              <w:t xml:space="preserve"> submission </w:t>
            </w:r>
            <w:r w:rsidRPr="00C84039">
              <w:rPr>
                <w:b/>
                <w:color w:val="auto"/>
              </w:rPr>
              <w:t>requirements.</w:t>
            </w:r>
            <w:bookmarkEnd w:id="16"/>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7"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7"/>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8"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8"/>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9"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9"/>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20"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20"/>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1"/>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2"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2"/>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3" w:name="_Toc67983269"/>
      <w:r>
        <w:t xml:space="preserve">CONTRACT </w:t>
      </w:r>
      <w:r w:rsidRPr="002B6C40">
        <w:t>REQUIREMENTS</w:t>
      </w:r>
      <w:bookmarkEnd w:id="23"/>
    </w:p>
    <w:p w14:paraId="52839BF3" w14:textId="77777777" w:rsidR="002B0D13" w:rsidRPr="00C84039" w:rsidRDefault="002B0D13" w:rsidP="002B0D13">
      <w:pPr>
        <w:pStyle w:val="Heading2"/>
        <w:rPr>
          <w:b/>
          <w:color w:val="auto"/>
        </w:rPr>
      </w:pPr>
      <w:bookmarkStart w:id="24" w:name="_Toc67983270"/>
      <w:r w:rsidRPr="00C84039">
        <w:rPr>
          <w:b/>
          <w:color w:val="auto"/>
        </w:rPr>
        <w:t>Contract</w:t>
      </w:r>
      <w:bookmarkEnd w:id="24"/>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5" w:name="_Toc67983271"/>
      <w:r w:rsidRPr="00BF4A78">
        <w:rPr>
          <w:b/>
          <w:color w:val="auto"/>
        </w:rPr>
        <w:t>Incorporation of Bid Documents</w:t>
      </w:r>
      <w:bookmarkEnd w:id="25"/>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6" w:name="_Toc67983272"/>
      <w:r w:rsidRPr="00BF4A78">
        <w:rPr>
          <w:b/>
          <w:color w:val="auto"/>
        </w:rPr>
        <w:t>Compliance with Laws</w:t>
      </w:r>
      <w:bookmarkEnd w:id="26"/>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7" w:name="_Toc67983273"/>
      <w:r w:rsidRPr="00BF4A78">
        <w:rPr>
          <w:b/>
          <w:color w:val="auto"/>
        </w:rPr>
        <w:t>Failure to Perform</w:t>
      </w:r>
      <w:bookmarkEnd w:id="27"/>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8" w:name="_Toc67983274"/>
      <w:r w:rsidRPr="00BF4A78">
        <w:rPr>
          <w:b/>
          <w:color w:val="auto"/>
        </w:rPr>
        <w:t>Termination</w:t>
      </w:r>
      <w:bookmarkEnd w:id="28"/>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9" w:name="_Toc67983275"/>
            <w:r w:rsidRPr="00C84039">
              <w:rPr>
                <w:b/>
                <w:color w:val="auto"/>
              </w:rPr>
              <w:t>Confirm your understanding of these requirements.</w:t>
            </w:r>
            <w:bookmarkEnd w:id="29"/>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002531E7" w14:textId="474A67A7" w:rsidR="13F5F7FA" w:rsidRDefault="13F5F7FA" w:rsidP="01E5030B">
      <w:pPr>
        <w:pStyle w:val="Heading1"/>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30" w:name="_Toc67983293"/>
      <w:r w:rsidRPr="182634DC">
        <w:rPr>
          <w:rStyle w:val="Heading2Char"/>
          <w:b/>
          <w:bCs/>
          <w:color w:val="auto"/>
        </w:rPr>
        <w:t>Documentation</w:t>
      </w:r>
      <w:bookmarkEnd w:id="30"/>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1" w:name="_Toc67983294"/>
            <w:r w:rsidRPr="00C84039">
              <w:rPr>
                <w:b/>
                <w:color w:val="auto"/>
              </w:rPr>
              <w:t>Confirm your understanding of the</w:t>
            </w:r>
            <w:r>
              <w:rPr>
                <w:b/>
                <w:color w:val="auto"/>
              </w:rPr>
              <w:t xml:space="preserve"> E-rate</w:t>
            </w:r>
            <w:r w:rsidRPr="00C84039">
              <w:rPr>
                <w:b/>
                <w:color w:val="auto"/>
              </w:rPr>
              <w:t xml:space="preserve"> requirements.</w:t>
            </w:r>
            <w:bookmarkEnd w:id="31"/>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4326451F" w14:textId="43A0C62B" w:rsidR="00801098" w:rsidRPr="00A12562" w:rsidRDefault="00801098" w:rsidP="01E5030B">
      <w:pPr>
        <w:pStyle w:val="Heading1"/>
        <w:rPr>
          <w:rFonts w:cstheme="minorBidi"/>
          <w:sz w:val="28"/>
          <w:szCs w:val="28"/>
        </w:rPr>
      </w:pPr>
      <w:bookmarkStart w:id="32" w:name="_Toc67983305"/>
      <w:r w:rsidRPr="00A12562">
        <w:t>TECHNICAL ENVIRONMENT</w:t>
      </w:r>
      <w:bookmarkEnd w:id="32"/>
      <w:r w:rsidRPr="00A12562">
        <w:t xml:space="preserve"> </w:t>
      </w:r>
    </w:p>
    <w:p w14:paraId="0DE4B5B7" w14:textId="756C4B65" w:rsidR="00CB6013" w:rsidRPr="00A12562" w:rsidRDefault="00A12562" w:rsidP="00801098">
      <w:pPr>
        <w:pStyle w:val="NoSpacing"/>
        <w:rPr>
          <w:rStyle w:val="eop"/>
          <w:rFonts w:ascii="Calibri Light" w:hAnsi="Calibri Light" w:cs="Calibri Light"/>
          <w:b/>
          <w:sz w:val="28"/>
          <w:szCs w:val="28"/>
          <w:shd w:val="clear" w:color="auto" w:fill="FFFFFF"/>
        </w:rPr>
      </w:pPr>
      <w:r w:rsidRPr="00A12562">
        <w:rPr>
          <w:rStyle w:val="eop"/>
          <w:rFonts w:ascii="Calibri Light" w:hAnsi="Calibri Light" w:cs="Calibri Light"/>
          <w:b/>
          <w:sz w:val="28"/>
          <w:szCs w:val="28"/>
          <w:shd w:val="clear" w:color="auto" w:fill="FFFFFF"/>
        </w:rPr>
        <w:t>Recipients of Service related to this RFP</w:t>
      </w:r>
    </w:p>
    <w:p w14:paraId="5133EF74" w14:textId="77777777" w:rsidR="006D2CF4" w:rsidRPr="00A12562" w:rsidRDefault="006D2CF4"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22"/>
        <w:gridCol w:w="4500"/>
        <w:gridCol w:w="503"/>
      </w:tblGrid>
      <w:tr w:rsidR="007D2D1E" w:rsidRPr="00A12562" w14:paraId="30531285" w14:textId="77777777" w:rsidTr="00B3106E">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A12562" w:rsidRDefault="007D2D1E" w:rsidP="007D2D1E">
            <w:pPr>
              <w:spacing w:after="0" w:line="240" w:lineRule="auto"/>
              <w:textAlignment w:val="baseline"/>
              <w:rPr>
                <w:rFonts w:ascii="Segoe UI" w:eastAsia="Times New Roman" w:hAnsi="Segoe UI" w:cs="Segoe UI"/>
                <w:sz w:val="18"/>
                <w:szCs w:val="18"/>
              </w:rPr>
            </w:pPr>
            <w:bookmarkStart w:id="33" w:name="_Toc67983307"/>
            <w:r w:rsidRPr="00A12562">
              <w:rPr>
                <w:rFonts w:ascii="Calibri" w:eastAsia="Times New Roman" w:hAnsi="Calibri" w:cs="Calibri"/>
                <w:b/>
                <w:bCs/>
                <w:color w:val="FFFFFF"/>
              </w:rPr>
              <w:t>#</w:t>
            </w:r>
            <w:r w:rsidRPr="00A12562">
              <w:rPr>
                <w:rFonts w:ascii="Calibri" w:eastAsia="Times New Roman" w:hAnsi="Calibri" w:cs="Calibri"/>
                <w:color w:val="FFFFFF"/>
              </w:rPr>
              <w:t> </w:t>
            </w:r>
          </w:p>
        </w:tc>
        <w:tc>
          <w:tcPr>
            <w:tcW w:w="3922"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A12562" w:rsidRDefault="007D2D1E" w:rsidP="007D2D1E">
            <w:pPr>
              <w:spacing w:after="0" w:line="240" w:lineRule="auto"/>
              <w:textAlignment w:val="baseline"/>
              <w:rPr>
                <w:rFonts w:ascii="Segoe UI" w:eastAsia="Times New Roman" w:hAnsi="Segoe UI" w:cs="Segoe UI"/>
                <w:sz w:val="18"/>
                <w:szCs w:val="18"/>
              </w:rPr>
            </w:pPr>
            <w:r w:rsidRPr="00A12562">
              <w:rPr>
                <w:rFonts w:ascii="Calibri" w:eastAsia="Times New Roman" w:hAnsi="Calibri" w:cs="Calibri"/>
                <w:b/>
                <w:bCs/>
                <w:color w:val="FFFFFF"/>
              </w:rPr>
              <w:t>Entity</w:t>
            </w:r>
            <w:r w:rsidRPr="00A12562">
              <w:rPr>
                <w:rFonts w:ascii="Calibri" w:eastAsia="Times New Roman" w:hAnsi="Calibri" w:cs="Calibri"/>
                <w:color w:val="FFFFFF"/>
              </w:rPr>
              <w:t> </w:t>
            </w:r>
          </w:p>
        </w:tc>
        <w:tc>
          <w:tcPr>
            <w:tcW w:w="450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A12562" w:rsidRDefault="007D2D1E" w:rsidP="007D2D1E">
            <w:pPr>
              <w:spacing w:after="0" w:line="240" w:lineRule="auto"/>
              <w:textAlignment w:val="baseline"/>
              <w:rPr>
                <w:rFonts w:ascii="Segoe UI" w:eastAsia="Times New Roman" w:hAnsi="Segoe UI" w:cs="Segoe UI"/>
                <w:sz w:val="18"/>
                <w:szCs w:val="18"/>
              </w:rPr>
            </w:pPr>
            <w:r w:rsidRPr="00A12562">
              <w:rPr>
                <w:rFonts w:ascii="Calibri" w:eastAsia="Times New Roman" w:hAnsi="Calibri" w:cs="Calibri"/>
                <w:b/>
                <w:bCs/>
                <w:color w:val="FFFFFF"/>
              </w:rPr>
              <w:t>Address</w:t>
            </w:r>
            <w:r w:rsidRPr="00A12562">
              <w:rPr>
                <w:rFonts w:ascii="Calibri" w:eastAsia="Times New Roman" w:hAnsi="Calibri" w:cs="Calibri"/>
                <w:color w:val="FFFFFF"/>
              </w:rPr>
              <w:t> </w:t>
            </w:r>
          </w:p>
        </w:tc>
        <w:tc>
          <w:tcPr>
            <w:tcW w:w="503"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A12562" w:rsidRDefault="007D2D1E" w:rsidP="007D2D1E">
            <w:pPr>
              <w:spacing w:after="0" w:line="240" w:lineRule="auto"/>
              <w:textAlignment w:val="baseline"/>
              <w:rPr>
                <w:rFonts w:ascii="Segoe UI" w:eastAsia="Times New Roman" w:hAnsi="Segoe UI" w:cs="Segoe UI"/>
                <w:sz w:val="18"/>
                <w:szCs w:val="18"/>
              </w:rPr>
            </w:pPr>
            <w:r w:rsidRPr="00A12562">
              <w:rPr>
                <w:rFonts w:ascii="Calibri" w:eastAsia="Times New Roman" w:hAnsi="Calibri" w:cs="Calibri"/>
                <w:b/>
                <w:bCs/>
                <w:color w:val="FFFFFF"/>
              </w:rPr>
              <w:t>NIF</w:t>
            </w:r>
            <w:r w:rsidRPr="00A12562">
              <w:rPr>
                <w:rFonts w:ascii="Calibri" w:eastAsia="Times New Roman" w:hAnsi="Calibri" w:cs="Calibri"/>
                <w:color w:val="FFFFFF"/>
              </w:rPr>
              <w:t> </w:t>
            </w:r>
          </w:p>
        </w:tc>
      </w:tr>
      <w:tr w:rsidR="002E6C75" w:rsidRPr="00A12562" w14:paraId="7A9C6CB6" w14:textId="77777777" w:rsidTr="00B3106E">
        <w:tc>
          <w:tcPr>
            <w:tcW w:w="390" w:type="dxa"/>
            <w:tcBorders>
              <w:top w:val="single" w:sz="6" w:space="0" w:color="auto"/>
              <w:left w:val="single" w:sz="6" w:space="0" w:color="auto"/>
              <w:bottom w:val="single" w:sz="6" w:space="0" w:color="auto"/>
              <w:right w:val="single" w:sz="6" w:space="0" w:color="auto"/>
            </w:tcBorders>
            <w:shd w:val="clear" w:color="auto" w:fill="auto"/>
          </w:tcPr>
          <w:p w14:paraId="4CB73742" w14:textId="4ED7DC4F" w:rsidR="002E6C75" w:rsidRPr="00A12562" w:rsidRDefault="002E6C75" w:rsidP="002E6C75">
            <w:pPr>
              <w:spacing w:after="0" w:line="240" w:lineRule="auto"/>
              <w:textAlignment w:val="baseline"/>
              <w:rPr>
                <w:rFonts w:ascii="Calibri" w:eastAsia="Times New Roman" w:hAnsi="Calibri" w:cs="Calibri"/>
                <w:b/>
                <w:bCs/>
                <w:color w:val="000000"/>
              </w:rPr>
            </w:pPr>
            <w:r w:rsidRPr="00A12562">
              <w:rPr>
                <w:rFonts w:ascii="Calibri" w:eastAsia="Times New Roman" w:hAnsi="Calibri" w:cs="Calibri"/>
                <w:b/>
                <w:bCs/>
                <w:color w:val="000000"/>
              </w:rPr>
              <w:t>1</w:t>
            </w:r>
          </w:p>
        </w:tc>
        <w:tc>
          <w:tcPr>
            <w:tcW w:w="3922" w:type="dxa"/>
            <w:tcBorders>
              <w:top w:val="single" w:sz="6" w:space="0" w:color="auto"/>
              <w:left w:val="single" w:sz="6" w:space="0" w:color="auto"/>
              <w:bottom w:val="single" w:sz="6" w:space="0" w:color="auto"/>
              <w:right w:val="single" w:sz="6" w:space="0" w:color="auto"/>
            </w:tcBorders>
            <w:shd w:val="clear" w:color="auto" w:fill="auto"/>
          </w:tcPr>
          <w:p w14:paraId="2BCFCF5F" w14:textId="3EA42A9C" w:rsidR="002E6C75" w:rsidRPr="00A12562" w:rsidRDefault="002E6C75" w:rsidP="002E6C75">
            <w:pPr>
              <w:spacing w:after="0" w:line="240" w:lineRule="auto"/>
              <w:textAlignment w:val="baseline"/>
              <w:rPr>
                <w:rStyle w:val="normaltextrun"/>
                <w:rFonts w:ascii="Calibri" w:hAnsi="Calibri" w:cs="Calibri"/>
                <w:color w:val="222222"/>
                <w:shd w:val="clear" w:color="auto" w:fill="FFFFFF"/>
              </w:rPr>
            </w:pPr>
            <w:r w:rsidRPr="00A12562">
              <w:rPr>
                <w:rStyle w:val="normaltextrun"/>
                <w:rFonts w:ascii="Calibri" w:hAnsi="Calibri" w:cs="Calibri"/>
                <w:color w:val="000000"/>
                <w:shd w:val="clear" w:color="auto" w:fill="FFFFFF"/>
              </w:rPr>
              <w:t>SOUTH ALBANY HIGH SCHOOL</w:t>
            </w:r>
            <w:r w:rsidRPr="00A12562">
              <w:rPr>
                <w:rStyle w:val="eop"/>
                <w:rFonts w:ascii="Calibri" w:hAnsi="Calibri" w:cs="Calibri"/>
                <w:color w:val="000000"/>
                <w:shd w:val="clear" w:color="auto" w:fill="FFFFFF"/>
              </w:rPr>
              <w:t> </w:t>
            </w:r>
          </w:p>
        </w:tc>
        <w:tc>
          <w:tcPr>
            <w:tcW w:w="4500" w:type="dxa"/>
            <w:tcBorders>
              <w:top w:val="single" w:sz="6" w:space="0" w:color="auto"/>
              <w:left w:val="single" w:sz="6" w:space="0" w:color="auto"/>
              <w:bottom w:val="single" w:sz="6" w:space="0" w:color="auto"/>
              <w:right w:val="single" w:sz="6" w:space="0" w:color="auto"/>
            </w:tcBorders>
            <w:shd w:val="clear" w:color="auto" w:fill="auto"/>
          </w:tcPr>
          <w:p w14:paraId="5E5334AB" w14:textId="3B03861A" w:rsidR="002E6C75" w:rsidRPr="00A12562" w:rsidRDefault="002E6C75" w:rsidP="002E6C75">
            <w:pPr>
              <w:spacing w:after="0" w:line="240" w:lineRule="auto"/>
              <w:textAlignment w:val="baseline"/>
              <w:rPr>
                <w:rStyle w:val="normaltextrun"/>
                <w:rFonts w:ascii="Calibri" w:hAnsi="Calibri" w:cs="Calibri"/>
                <w:color w:val="222222"/>
                <w:shd w:val="clear" w:color="auto" w:fill="FFFFFF"/>
              </w:rPr>
            </w:pPr>
            <w:r w:rsidRPr="00A12562">
              <w:rPr>
                <w:rStyle w:val="normaltextrun"/>
                <w:rFonts w:ascii="Calibri" w:hAnsi="Calibri" w:cs="Calibri"/>
                <w:color w:val="222222"/>
                <w:shd w:val="clear" w:color="auto" w:fill="FFFFFF"/>
              </w:rPr>
              <w:t>3705 COLUMBUS ST SE ALBANY, OR 97322</w:t>
            </w:r>
            <w:r w:rsidRPr="00A12562">
              <w:rPr>
                <w:rStyle w:val="eop"/>
                <w:rFonts w:ascii="Calibri" w:hAnsi="Calibri" w:cs="Calibri"/>
                <w:color w:val="222222"/>
                <w:shd w:val="clear" w:color="auto" w:fill="FFFFFF"/>
              </w:rPr>
              <w:t> </w:t>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39187710" w14:textId="77777777" w:rsidR="002E6C75" w:rsidRPr="00A12562" w:rsidRDefault="002E6C75" w:rsidP="002E6C75">
            <w:pPr>
              <w:spacing w:after="0" w:line="240" w:lineRule="auto"/>
              <w:textAlignment w:val="baseline"/>
              <w:rPr>
                <w:rFonts w:ascii="Calibri" w:eastAsia="Times New Roman" w:hAnsi="Calibri" w:cs="Calibri"/>
                <w:color w:val="000000"/>
              </w:rPr>
            </w:pPr>
          </w:p>
        </w:tc>
      </w:tr>
      <w:bookmarkEnd w:id="33"/>
    </w:tbl>
    <w:p w14:paraId="66204FF1" w14:textId="507620D0" w:rsidR="008A63D9" w:rsidRPr="00A12562" w:rsidRDefault="008A63D9">
      <w:pPr>
        <w:rPr>
          <w:rFonts w:cstheme="minorHAnsi"/>
          <w:sz w:val="28"/>
        </w:rPr>
      </w:pPr>
    </w:p>
    <w:p w14:paraId="6E673B70" w14:textId="77777777" w:rsidR="00CB6013" w:rsidRPr="00A12562" w:rsidRDefault="00CB6013" w:rsidP="00C84039">
      <w:pPr>
        <w:pStyle w:val="Heading1"/>
      </w:pPr>
      <w:bookmarkStart w:id="34" w:name="_Toc67983310"/>
      <w:r w:rsidRPr="00A12562">
        <w:t>SCOPE OF WORK</w:t>
      </w:r>
      <w:bookmarkEnd w:id="34"/>
    </w:p>
    <w:p w14:paraId="6E0C7A92" w14:textId="50873CF7" w:rsidR="00F073BC" w:rsidRPr="00B914C5" w:rsidRDefault="00F073BC" w:rsidP="009C7532">
      <w:pPr>
        <w:rPr>
          <w:color w:val="FF0000"/>
        </w:rPr>
      </w:pPr>
      <w:bookmarkStart w:id="35" w:name="_Toc67983311"/>
      <w:r w:rsidRPr="00A12562">
        <w:rPr>
          <w:rStyle w:val="Heading2Char"/>
          <w:b/>
          <w:color w:val="auto"/>
        </w:rPr>
        <w:t>Definition</w:t>
      </w:r>
      <w:bookmarkEnd w:id="35"/>
      <w:r w:rsidRPr="00BA67A7">
        <w:rPr>
          <w:highlight w:val="yellow"/>
        </w:rPr>
        <w:br/>
      </w:r>
      <w:sdt>
        <w:sdtPr>
          <w:rPr>
            <w:rStyle w:val="HeaderChar"/>
            <w:rFonts w:ascii="Calibri" w:eastAsia="Times New Roman" w:hAnsi="Calibri" w:cs="Calibri"/>
          </w:rPr>
          <w:alias w:val="ScopeOfWork"/>
          <w:tag w:val="ScopeOfWork"/>
          <w:id w:val="1907499594"/>
          <w:placeholder>
            <w:docPart w:val="DefaultPlaceholder_1081868574"/>
          </w:placeholder>
          <w15:color w:val="000000"/>
          <w:text/>
        </w:sdtPr>
        <w:sdtEndPr>
          <w:rPr>
            <w:rStyle w:val="HeaderChar"/>
          </w:rPr>
        </w:sdtEndPr>
        <w:sdtContent>
          <w:r w:rsidR="009C7532" w:rsidRPr="009C7532">
            <w:rPr>
              <w:rStyle w:val="HeaderChar"/>
              <w:rFonts w:ascii="Calibri" w:eastAsia="Times New Roman" w:hAnsi="Calibri" w:cs="Calibri"/>
            </w:rPr>
            <w:t xml:space="preserve">South Albany High School Stadium is seeking cabling to support </w:t>
          </w:r>
          <w:r w:rsidR="005F3FC4">
            <w:rPr>
              <w:rStyle w:val="HeaderChar"/>
              <w:rFonts w:ascii="Calibri" w:eastAsia="Times New Roman" w:hAnsi="Calibri" w:cs="Calibri"/>
            </w:rPr>
            <w:t>network</w:t>
          </w:r>
          <w:r w:rsidR="009C7532" w:rsidRPr="009C7532">
            <w:rPr>
              <w:rStyle w:val="HeaderChar"/>
              <w:rFonts w:ascii="Calibri" w:eastAsia="Times New Roman" w:hAnsi="Calibri" w:cs="Calibri"/>
            </w:rPr>
            <w:t>.  The products and/or services and quantities are outlined in the Line Items portion of this RFP. The products and/or services being requested are as follows: Cabling Requesting Single mode 50 micro OS2 Fiber optic cabling be installed at South Albany High School going from the MDF closet in the A</w:t>
          </w:r>
          <w:r w:rsidR="009C7532">
            <w:rPr>
              <w:rStyle w:val="HeaderChar"/>
              <w:rFonts w:ascii="Calibri" w:eastAsia="Times New Roman" w:hAnsi="Calibri" w:cs="Calibri"/>
            </w:rPr>
            <w:t xml:space="preserve">dmin Building (Bld 6) </w:t>
          </w:r>
          <w:r w:rsidR="009C7532" w:rsidRPr="009C7532">
            <w:rPr>
              <w:rStyle w:val="HeaderChar"/>
              <w:rFonts w:ascii="Calibri" w:eastAsia="Times New Roman" w:hAnsi="Calibri" w:cs="Calibri"/>
            </w:rPr>
            <w:t xml:space="preserve">to the athletic stadium IDF cabinet located on the North Side wall in the press box.  A walkthrough is mandatory prior to bid for hand hole/pull box locations and approximate fiber termination locations. Refer to the aerial photograph below for building locations. Building 6 on the left, stadium IDF on the right.  Please contact GAPS Technology at </w:t>
          </w:r>
          <w:r w:rsidR="009C7532">
            <w:rPr>
              <w:rStyle w:val="HeaderChar"/>
              <w:rFonts w:ascii="Calibri" w:eastAsia="Times New Roman" w:hAnsi="Calibri" w:cs="Calibri"/>
            </w:rPr>
            <w:t>leah.guilford</w:t>
          </w:r>
          <w:r w:rsidR="009C7532" w:rsidRPr="009C7532">
            <w:rPr>
              <w:rStyle w:val="HeaderChar"/>
              <w:rFonts w:ascii="Calibri" w:eastAsia="Times New Roman" w:hAnsi="Calibri" w:cs="Calibri"/>
            </w:rPr>
            <w:t>@albany.k12.or.us, to schedule a walkthrough.</w:t>
          </w:r>
          <w:r w:rsidR="009C7532">
            <w:rPr>
              <w:rStyle w:val="HeaderChar"/>
              <w:rFonts w:ascii="Calibri" w:eastAsia="Times New Roman" w:hAnsi="Calibri" w:cs="Calibri"/>
            </w:rPr>
            <w:t xml:space="preserve"> </w:t>
          </w:r>
        </w:sdtContent>
      </w:sdt>
    </w:p>
    <w:p w14:paraId="206BECA1" w14:textId="7D8FF290" w:rsidR="009C7532" w:rsidRDefault="009C7532" w:rsidP="006D2CF4">
      <w:pPr>
        <w:pStyle w:val="paragraph"/>
        <w:tabs>
          <w:tab w:val="left" w:pos="4005"/>
          <w:tab w:val="right" w:pos="9360"/>
        </w:tabs>
        <w:spacing w:before="0" w:beforeAutospacing="0" w:after="0" w:afterAutospacing="0"/>
        <w:textAlignment w:val="baseline"/>
        <w:rPr>
          <w:rFonts w:ascii="Segoe UI" w:hAnsi="Segoe UI" w:cs="Segoe UI"/>
          <w:sz w:val="22"/>
          <w:szCs w:val="18"/>
          <w:highlight w:val="yellow"/>
        </w:rPr>
      </w:pPr>
      <w:bookmarkStart w:id="36" w:name="_Toc67983312"/>
      <w:r>
        <w:rPr>
          <w:rFonts w:ascii="Segoe UI" w:hAnsi="Segoe UI" w:cs="Segoe UI"/>
          <w:noProof/>
          <w:szCs w:val="18"/>
          <w:highlight w:val="yellow"/>
        </w:rPr>
        <w:drawing>
          <wp:inline distT="0" distB="0" distL="0" distR="0" wp14:anchorId="16597CF2" wp14:editId="4F32C11F">
            <wp:extent cx="5943600" cy="4610100"/>
            <wp:effectExtent l="0" t="0" r="0" b="0"/>
            <wp:docPr id="3" name="Picture 3" descr="C:\Users\lguilfor\AppData\Local\Microsoft\Windows\INetCache\Content.MSO\BD95AF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uilfor\AppData\Local\Microsoft\Windows\INetCache\Content.MSO\BD95AFC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610100"/>
                    </a:xfrm>
                    <a:prstGeom prst="rect">
                      <a:avLst/>
                    </a:prstGeom>
                    <a:noFill/>
                    <a:ln>
                      <a:noFill/>
                    </a:ln>
                  </pic:spPr>
                </pic:pic>
              </a:graphicData>
            </a:graphic>
          </wp:inline>
        </w:drawing>
      </w:r>
    </w:p>
    <w:p w14:paraId="07A326AB" w14:textId="7B8B4DC1" w:rsidR="009C7532" w:rsidRDefault="009C7532" w:rsidP="006D2CF4">
      <w:pPr>
        <w:pStyle w:val="paragraph"/>
        <w:tabs>
          <w:tab w:val="left" w:pos="4005"/>
          <w:tab w:val="right" w:pos="9360"/>
        </w:tabs>
        <w:spacing w:before="0" w:beforeAutospacing="0" w:after="0" w:afterAutospacing="0"/>
        <w:textAlignment w:val="baseline"/>
        <w:rPr>
          <w:rFonts w:ascii="Segoe UI" w:hAnsi="Segoe UI" w:cs="Segoe UI"/>
          <w:sz w:val="22"/>
          <w:szCs w:val="18"/>
          <w:highlight w:val="yellow"/>
        </w:rPr>
      </w:pPr>
    </w:p>
    <w:p w14:paraId="6A0AAF1A" w14:textId="77777777" w:rsidR="009C7532" w:rsidRDefault="009C7532" w:rsidP="006D2CF4">
      <w:pPr>
        <w:pStyle w:val="paragraph"/>
        <w:tabs>
          <w:tab w:val="left" w:pos="4005"/>
          <w:tab w:val="right" w:pos="9360"/>
        </w:tabs>
        <w:spacing w:before="0" w:beforeAutospacing="0" w:after="0" w:afterAutospacing="0"/>
        <w:textAlignment w:val="baseline"/>
        <w:rPr>
          <w:rFonts w:ascii="Segoe UI" w:hAnsi="Segoe UI" w:cs="Segoe UI"/>
          <w:sz w:val="22"/>
          <w:szCs w:val="18"/>
          <w:highlight w:val="yellow"/>
        </w:rPr>
      </w:pPr>
    </w:p>
    <w:p w14:paraId="64A6BA21" w14:textId="6F2A701E" w:rsidR="006A232C" w:rsidRPr="00A12562" w:rsidRDefault="00952F1D"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sdt>
        <w:sdtPr>
          <w:rPr>
            <w:rFonts w:ascii="Segoe UI" w:hAnsi="Segoe UI" w:cs="Segoe UI"/>
            <w:sz w:val="22"/>
            <w:szCs w:val="18"/>
          </w:rPr>
          <w:id w:val="1171532797"/>
          <w14:checkbox>
            <w14:checked w14:val="1"/>
            <w14:checkedState w14:val="2612" w14:font="MS Gothic"/>
            <w14:uncheckedState w14:val="2610" w14:font="MS Gothic"/>
          </w14:checkbox>
        </w:sdtPr>
        <w:sdtEndPr/>
        <w:sdtContent>
          <w:r w:rsidR="00A12562" w:rsidRPr="00A12562">
            <w:rPr>
              <w:rFonts w:ascii="MS Gothic" w:eastAsia="MS Gothic" w:hAnsi="MS Gothic" w:cs="Segoe UI" w:hint="eastAsia"/>
              <w:sz w:val="22"/>
              <w:szCs w:val="18"/>
            </w:rPr>
            <w:t>☒</w:t>
          </w:r>
        </w:sdtContent>
      </w:sdt>
      <w:r w:rsidR="00A12562">
        <w:rPr>
          <w:rFonts w:ascii="Segoe UI" w:hAnsi="Segoe UI" w:cs="Segoe UI"/>
          <w:sz w:val="22"/>
          <w:szCs w:val="18"/>
        </w:rPr>
        <w:t xml:space="preserve"> </w:t>
      </w:r>
      <w:r w:rsidR="006D2CF4" w:rsidRPr="00A12562">
        <w:rPr>
          <w:rFonts w:ascii="Segoe UI" w:hAnsi="Segoe UI" w:cs="Segoe UI"/>
          <w:sz w:val="22"/>
          <w:szCs w:val="18"/>
        </w:rPr>
        <w:t>Installation/Configuration Needed</w:t>
      </w:r>
    </w:p>
    <w:p w14:paraId="060D2BC2" w14:textId="77777777" w:rsidR="006D2CF4" w:rsidRPr="00A12562"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A12562" w:rsidRDefault="00F073BC" w:rsidP="00F073BC">
      <w:pPr>
        <w:pStyle w:val="Heading2"/>
        <w:rPr>
          <w:b/>
          <w:color w:val="auto"/>
        </w:rPr>
      </w:pPr>
      <w:r w:rsidRPr="00A12562">
        <w:rPr>
          <w:b/>
          <w:color w:val="auto"/>
        </w:rPr>
        <w:t>Line Items</w:t>
      </w:r>
      <w:bookmarkEnd w:id="36"/>
    </w:p>
    <w:tbl>
      <w:tblPr>
        <w:tblStyle w:val="TableGrid"/>
        <w:tblW w:w="9355" w:type="dxa"/>
        <w:tblLook w:val="04A0" w:firstRow="1" w:lastRow="0" w:firstColumn="1" w:lastColumn="0" w:noHBand="0" w:noVBand="1"/>
      </w:tblPr>
      <w:tblGrid>
        <w:gridCol w:w="408"/>
        <w:gridCol w:w="4391"/>
        <w:gridCol w:w="1766"/>
        <w:gridCol w:w="2790"/>
      </w:tblGrid>
      <w:tr w:rsidR="00F070F5" w:rsidRPr="00A12562" w14:paraId="51B102CE" w14:textId="77777777" w:rsidTr="00F070F5">
        <w:trPr>
          <w:trHeight w:val="456"/>
        </w:trPr>
        <w:tc>
          <w:tcPr>
            <w:tcW w:w="408" w:type="dxa"/>
            <w:shd w:val="clear" w:color="auto" w:fill="404040" w:themeFill="text1" w:themeFillTint="BF"/>
          </w:tcPr>
          <w:p w14:paraId="64573B65" w14:textId="0EC56916" w:rsidR="00F070F5" w:rsidRPr="00A12562" w:rsidRDefault="00F070F5" w:rsidP="00CB6013">
            <w:pPr>
              <w:rPr>
                <w:rFonts w:cstheme="minorHAnsi"/>
                <w:b/>
                <w:color w:val="FFFFFF" w:themeColor="background1"/>
              </w:rPr>
            </w:pPr>
            <w:r w:rsidRPr="00A12562">
              <w:rPr>
                <w:rFonts w:cstheme="minorHAnsi"/>
                <w:b/>
                <w:color w:val="FFFFFF" w:themeColor="background1"/>
              </w:rPr>
              <w:t>#</w:t>
            </w:r>
          </w:p>
        </w:tc>
        <w:tc>
          <w:tcPr>
            <w:tcW w:w="4391" w:type="dxa"/>
            <w:shd w:val="clear" w:color="auto" w:fill="404040" w:themeFill="text1" w:themeFillTint="BF"/>
          </w:tcPr>
          <w:p w14:paraId="018E7E0B" w14:textId="465D3913" w:rsidR="00F070F5" w:rsidRPr="00A12562" w:rsidRDefault="00F070F5" w:rsidP="00CB6013">
            <w:pPr>
              <w:rPr>
                <w:rFonts w:cstheme="minorHAnsi"/>
                <w:b/>
                <w:color w:val="FFFFFF" w:themeColor="background1"/>
              </w:rPr>
            </w:pPr>
            <w:r w:rsidRPr="00A12562">
              <w:rPr>
                <w:rFonts w:cstheme="minorHAnsi"/>
                <w:b/>
                <w:color w:val="FFFFFF" w:themeColor="background1"/>
              </w:rPr>
              <w:t>Item</w:t>
            </w:r>
          </w:p>
        </w:tc>
        <w:tc>
          <w:tcPr>
            <w:tcW w:w="1766" w:type="dxa"/>
            <w:shd w:val="clear" w:color="auto" w:fill="404040" w:themeFill="text1" w:themeFillTint="BF"/>
          </w:tcPr>
          <w:p w14:paraId="7311E5BE" w14:textId="44CF2572" w:rsidR="00F070F5" w:rsidRPr="00A12562" w:rsidRDefault="00F070F5" w:rsidP="00CB6013">
            <w:pPr>
              <w:rPr>
                <w:rFonts w:cstheme="minorHAnsi"/>
                <w:b/>
                <w:color w:val="FFFFFF" w:themeColor="background1"/>
              </w:rPr>
            </w:pPr>
            <w:r w:rsidRPr="00A12562">
              <w:rPr>
                <w:rFonts w:cstheme="minorHAnsi"/>
                <w:b/>
                <w:color w:val="FFFFFF" w:themeColor="background1"/>
              </w:rPr>
              <w:t>Make or Model, or equivalent</w:t>
            </w:r>
          </w:p>
        </w:tc>
        <w:tc>
          <w:tcPr>
            <w:tcW w:w="2790" w:type="dxa"/>
            <w:shd w:val="clear" w:color="auto" w:fill="404040" w:themeFill="text1" w:themeFillTint="BF"/>
          </w:tcPr>
          <w:p w14:paraId="52861222" w14:textId="5D572421" w:rsidR="00F070F5" w:rsidRPr="00A12562" w:rsidRDefault="00F070F5" w:rsidP="00CB6013">
            <w:pPr>
              <w:rPr>
                <w:rFonts w:cstheme="minorHAnsi"/>
                <w:b/>
                <w:color w:val="FFFFFF" w:themeColor="background1"/>
              </w:rPr>
            </w:pPr>
            <w:r w:rsidRPr="00A12562">
              <w:rPr>
                <w:rFonts w:cstheme="minorHAnsi"/>
                <w:b/>
                <w:color w:val="FFFFFF" w:themeColor="background1"/>
              </w:rPr>
              <w:t>Quantity or Capacity</w:t>
            </w:r>
          </w:p>
        </w:tc>
      </w:tr>
      <w:tr w:rsidR="00F070F5" w:rsidRPr="00A12562" w14:paraId="528D6EB1" w14:textId="77777777" w:rsidTr="00F070F5">
        <w:trPr>
          <w:trHeight w:val="939"/>
        </w:trPr>
        <w:tc>
          <w:tcPr>
            <w:tcW w:w="408" w:type="dxa"/>
          </w:tcPr>
          <w:p w14:paraId="3961FFDF" w14:textId="03760EEB" w:rsidR="00F070F5" w:rsidRPr="00A12562" w:rsidRDefault="00F070F5" w:rsidP="00CB6013">
            <w:pPr>
              <w:rPr>
                <w:rFonts w:cstheme="minorHAnsi"/>
              </w:rPr>
            </w:pPr>
            <w:r w:rsidRPr="00A12562">
              <w:rPr>
                <w:rFonts w:cstheme="minorHAnsi"/>
              </w:rPr>
              <w:t>1</w:t>
            </w:r>
          </w:p>
        </w:tc>
        <w:tc>
          <w:tcPr>
            <w:tcW w:w="4391" w:type="dxa"/>
          </w:tcPr>
          <w:p w14:paraId="7FA1D497" w14:textId="03014641" w:rsidR="00F070F5" w:rsidRPr="00A12562" w:rsidRDefault="00F070F5" w:rsidP="007D2D1E">
            <w:pPr>
              <w:rPr>
                <w:rFonts w:cstheme="minorHAnsi"/>
              </w:rPr>
            </w:pPr>
            <w:r w:rsidRPr="00A12562">
              <w:rPr>
                <w:rStyle w:val="normaltextrun"/>
                <w:rFonts w:ascii="Arial" w:hAnsi="Arial" w:cs="Arial"/>
                <w:b/>
                <w:bCs/>
                <w:color w:val="000000"/>
                <w:bdr w:val="none" w:sz="0" w:space="0" w:color="auto" w:frame="1"/>
              </w:rPr>
              <w:t>Single Mode 50 Micron OS2 Fiber</w:t>
            </w:r>
          </w:p>
        </w:tc>
        <w:tc>
          <w:tcPr>
            <w:tcW w:w="1766" w:type="dxa"/>
          </w:tcPr>
          <w:p w14:paraId="0C037BC5" w14:textId="77777777" w:rsidR="00F070F5" w:rsidRPr="00A12562" w:rsidRDefault="00F070F5" w:rsidP="00CB6013">
            <w:pPr>
              <w:rPr>
                <w:rFonts w:cstheme="minorHAnsi"/>
              </w:rPr>
            </w:pPr>
          </w:p>
        </w:tc>
        <w:tc>
          <w:tcPr>
            <w:tcW w:w="2790" w:type="dxa"/>
          </w:tcPr>
          <w:p w14:paraId="0BE1A380" w14:textId="77777777" w:rsidR="00F070F5" w:rsidRDefault="00F070F5" w:rsidP="00CB6013">
            <w:pPr>
              <w:rPr>
                <w:rStyle w:val="eop"/>
                <w:rFonts w:ascii="Calibri" w:hAnsi="Calibri" w:cs="Calibri"/>
                <w:color w:val="000000"/>
                <w:shd w:val="clear" w:color="auto" w:fill="FFFFFF"/>
              </w:rPr>
            </w:pPr>
            <w:r w:rsidRPr="00A12562">
              <w:rPr>
                <w:rStyle w:val="normaltextrun"/>
                <w:rFonts w:ascii="Calibri" w:hAnsi="Calibri" w:cs="Calibri"/>
                <w:color w:val="000000"/>
                <w:shd w:val="clear" w:color="auto" w:fill="FFFFFF"/>
              </w:rPr>
              <w:t>1 run with 3 pairs of fibers terminated</w:t>
            </w:r>
            <w:r w:rsidRPr="00A12562">
              <w:rPr>
                <w:rStyle w:val="eop"/>
                <w:rFonts w:ascii="Calibri" w:hAnsi="Calibri" w:cs="Calibri"/>
                <w:color w:val="000000"/>
                <w:shd w:val="clear" w:color="auto" w:fill="FFFFFF"/>
              </w:rPr>
              <w:t> </w:t>
            </w:r>
          </w:p>
          <w:p w14:paraId="7E65A91A" w14:textId="0371353B" w:rsidR="00F070F5" w:rsidRPr="00A12562" w:rsidRDefault="005F3FC4" w:rsidP="00CB6013">
            <w:pPr>
              <w:rPr>
                <w:rFonts w:cstheme="minorHAnsi"/>
              </w:rPr>
            </w:pPr>
            <w:r>
              <w:rPr>
                <w:rFonts w:cstheme="minorHAnsi"/>
              </w:rPr>
              <w:t>(Estimated 18</w:t>
            </w:r>
            <w:r w:rsidR="00F070F5">
              <w:rPr>
                <w:rFonts w:cstheme="minorHAnsi"/>
              </w:rPr>
              <w:t>00 feet)</w:t>
            </w:r>
          </w:p>
        </w:tc>
      </w:tr>
      <w:tr w:rsidR="00F070F5" w:rsidRPr="00BA67A7" w14:paraId="1554A836" w14:textId="77777777" w:rsidTr="00F070F5">
        <w:trPr>
          <w:trHeight w:val="221"/>
        </w:trPr>
        <w:tc>
          <w:tcPr>
            <w:tcW w:w="408" w:type="dxa"/>
          </w:tcPr>
          <w:p w14:paraId="1D7FD58C" w14:textId="63271167" w:rsidR="00F070F5" w:rsidRPr="00A12562" w:rsidRDefault="00F070F5" w:rsidP="00CB6013">
            <w:pPr>
              <w:rPr>
                <w:rFonts w:cstheme="minorHAnsi"/>
              </w:rPr>
            </w:pPr>
            <w:r w:rsidRPr="00A12562">
              <w:rPr>
                <w:rFonts w:cstheme="minorHAnsi"/>
              </w:rPr>
              <w:t>2</w:t>
            </w:r>
          </w:p>
        </w:tc>
        <w:tc>
          <w:tcPr>
            <w:tcW w:w="4391" w:type="dxa"/>
          </w:tcPr>
          <w:p w14:paraId="4C302105" w14:textId="4D15E5F4" w:rsidR="00F070F5" w:rsidRPr="00A12562" w:rsidRDefault="00F070F5" w:rsidP="00CB6013">
            <w:pPr>
              <w:rPr>
                <w:rFonts w:cstheme="minorHAnsi"/>
              </w:rPr>
            </w:pPr>
            <w:r w:rsidRPr="00A12562">
              <w:rPr>
                <w:rStyle w:val="normaltextrun"/>
                <w:rFonts w:ascii="Arial" w:hAnsi="Arial" w:cs="Arial"/>
                <w:b/>
                <w:bCs/>
                <w:color w:val="000000"/>
                <w:shd w:val="clear" w:color="auto" w:fill="FFFFFF"/>
              </w:rPr>
              <w:t>Initial installation and configuration </w:t>
            </w:r>
            <w:r w:rsidRPr="00A12562">
              <w:rPr>
                <w:rStyle w:val="eop"/>
                <w:rFonts w:ascii="Arial" w:hAnsi="Arial" w:cs="Arial"/>
                <w:color w:val="000000"/>
                <w:shd w:val="clear" w:color="auto" w:fill="FFFFFF"/>
              </w:rPr>
              <w:t> </w:t>
            </w:r>
          </w:p>
        </w:tc>
        <w:tc>
          <w:tcPr>
            <w:tcW w:w="1766" w:type="dxa"/>
          </w:tcPr>
          <w:p w14:paraId="016336D2" w14:textId="77777777" w:rsidR="00F070F5" w:rsidRPr="00A12562" w:rsidRDefault="00F070F5" w:rsidP="00CB6013">
            <w:pPr>
              <w:rPr>
                <w:rFonts w:cstheme="minorHAnsi"/>
              </w:rPr>
            </w:pPr>
          </w:p>
        </w:tc>
        <w:tc>
          <w:tcPr>
            <w:tcW w:w="2790" w:type="dxa"/>
          </w:tcPr>
          <w:p w14:paraId="6D6F8964" w14:textId="7D0C0F27" w:rsidR="00F070F5" w:rsidRPr="00A12562" w:rsidRDefault="00F070F5" w:rsidP="00CB6013">
            <w:pPr>
              <w:rPr>
                <w:rFonts w:cstheme="minorHAnsi"/>
              </w:rPr>
            </w:pPr>
            <w:r w:rsidRPr="00A12562">
              <w:rPr>
                <w:rFonts w:cstheme="minorHAnsi"/>
              </w:rPr>
              <w:t>1</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7" w:name="_Toc67983313"/>
      <w:r w:rsidRPr="002B6C40">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6A1A" w14:textId="77777777" w:rsidR="00952F1D" w:rsidRDefault="00952F1D" w:rsidP="00DC42D7">
      <w:pPr>
        <w:spacing w:after="0" w:line="240" w:lineRule="auto"/>
      </w:pPr>
      <w:r>
        <w:separator/>
      </w:r>
    </w:p>
  </w:endnote>
  <w:endnote w:type="continuationSeparator" w:id="0">
    <w:p w14:paraId="355C8682" w14:textId="77777777" w:rsidR="00952F1D" w:rsidRDefault="00952F1D"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250EEC79"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960C0E">
              <w:rPr>
                <w:bCs/>
                <w:noProof/>
              </w:rPr>
              <w:t>14</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960C0E">
              <w:rPr>
                <w:bCs/>
                <w:noProof/>
              </w:rPr>
              <w:t>14</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9058" w14:textId="77777777" w:rsidR="00952F1D" w:rsidRDefault="00952F1D" w:rsidP="00DC42D7">
      <w:pPr>
        <w:spacing w:after="0" w:line="240" w:lineRule="auto"/>
      </w:pPr>
      <w:r>
        <w:separator/>
      </w:r>
    </w:p>
  </w:footnote>
  <w:footnote w:type="continuationSeparator" w:id="0">
    <w:p w14:paraId="5C29B298" w14:textId="77777777" w:rsidR="00952F1D" w:rsidRDefault="00952F1D"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690010CD" w:rsidR="00BF4A78" w:rsidRDefault="00952F1D">
    <w:pPr>
      <w:pStyle w:val="Header"/>
    </w:pPr>
    <w:sdt>
      <w:sdtPr>
        <w:alias w:val="District"/>
        <w:tag w:val="District"/>
        <w:id w:val="-568959399"/>
        <w:placeholder>
          <w:docPart w:val="DefaultPlaceholder_1081868574"/>
        </w:placeholder>
        <w15:color w:val="000000"/>
        <w:text/>
      </w:sdtPr>
      <w:sdtEndPr/>
      <w:sdtContent>
        <w:r w:rsidR="00A12562">
          <w:t>Greater Albany Public Schools</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A12562">
          <w:rPr>
            <w:color w:val="808080"/>
          </w:rPr>
          <w:t>GAPS</w:t>
        </w:r>
        <w:r w:rsidR="006D2CF4">
          <w:rPr>
            <w:color w:val="808080"/>
          </w:rPr>
          <w:t>_</w:t>
        </w:r>
        <w:r w:rsidR="00BA67A7" w:rsidRPr="00BA67A7">
          <w:rPr>
            <w:color w:val="808080"/>
          </w:rPr>
          <w:t>FY202</w:t>
        </w:r>
        <w:r w:rsidR="00A12562">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A12562">
          <w:rPr>
            <w:color w:val="808080"/>
          </w:rPr>
          <w:t>CAB</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5F74"/>
    <w:rsid w:val="00160B0A"/>
    <w:rsid w:val="00165FB5"/>
    <w:rsid w:val="0018324E"/>
    <w:rsid w:val="001A20E9"/>
    <w:rsid w:val="001B1870"/>
    <w:rsid w:val="001C20D6"/>
    <w:rsid w:val="001D5722"/>
    <w:rsid w:val="002A1D6F"/>
    <w:rsid w:val="002B0D13"/>
    <w:rsid w:val="002B6C40"/>
    <w:rsid w:val="002D2297"/>
    <w:rsid w:val="002E6C75"/>
    <w:rsid w:val="002F165B"/>
    <w:rsid w:val="003153A7"/>
    <w:rsid w:val="00363BDB"/>
    <w:rsid w:val="003B54A5"/>
    <w:rsid w:val="003E17AE"/>
    <w:rsid w:val="00415776"/>
    <w:rsid w:val="004A0F84"/>
    <w:rsid w:val="005069A6"/>
    <w:rsid w:val="00543B20"/>
    <w:rsid w:val="00566D0D"/>
    <w:rsid w:val="005A4BAD"/>
    <w:rsid w:val="005D7CDE"/>
    <w:rsid w:val="005E769F"/>
    <w:rsid w:val="005F3FC4"/>
    <w:rsid w:val="006261D3"/>
    <w:rsid w:val="006512EC"/>
    <w:rsid w:val="006A232C"/>
    <w:rsid w:val="006A395E"/>
    <w:rsid w:val="006B0297"/>
    <w:rsid w:val="006B3EA4"/>
    <w:rsid w:val="006D2CF4"/>
    <w:rsid w:val="007076B3"/>
    <w:rsid w:val="00712130"/>
    <w:rsid w:val="00723931"/>
    <w:rsid w:val="00733573"/>
    <w:rsid w:val="007450EC"/>
    <w:rsid w:val="00747645"/>
    <w:rsid w:val="00757979"/>
    <w:rsid w:val="00787024"/>
    <w:rsid w:val="00791D40"/>
    <w:rsid w:val="007A5672"/>
    <w:rsid w:val="007D2D1E"/>
    <w:rsid w:val="007F31A6"/>
    <w:rsid w:val="00801098"/>
    <w:rsid w:val="008232F6"/>
    <w:rsid w:val="008328E6"/>
    <w:rsid w:val="008A123B"/>
    <w:rsid w:val="008A63D9"/>
    <w:rsid w:val="00933AC1"/>
    <w:rsid w:val="00952184"/>
    <w:rsid w:val="00952F1D"/>
    <w:rsid w:val="0095494E"/>
    <w:rsid w:val="00960C0E"/>
    <w:rsid w:val="00974DD9"/>
    <w:rsid w:val="009B06A3"/>
    <w:rsid w:val="009B7883"/>
    <w:rsid w:val="009C1D53"/>
    <w:rsid w:val="009C7532"/>
    <w:rsid w:val="009D248F"/>
    <w:rsid w:val="009E1E18"/>
    <w:rsid w:val="00A12562"/>
    <w:rsid w:val="00A20313"/>
    <w:rsid w:val="00A82D45"/>
    <w:rsid w:val="00AB4485"/>
    <w:rsid w:val="00AC3FEB"/>
    <w:rsid w:val="00AC6029"/>
    <w:rsid w:val="00AE4925"/>
    <w:rsid w:val="00AE59A7"/>
    <w:rsid w:val="00B13DA7"/>
    <w:rsid w:val="00B3106E"/>
    <w:rsid w:val="00B31FEB"/>
    <w:rsid w:val="00B82460"/>
    <w:rsid w:val="00BA67A7"/>
    <w:rsid w:val="00BE3644"/>
    <w:rsid w:val="00BF4A78"/>
    <w:rsid w:val="00C040AA"/>
    <w:rsid w:val="00C13A57"/>
    <w:rsid w:val="00C329A5"/>
    <w:rsid w:val="00C630B1"/>
    <w:rsid w:val="00C84039"/>
    <w:rsid w:val="00C856A1"/>
    <w:rsid w:val="00CA2C50"/>
    <w:rsid w:val="00CB6013"/>
    <w:rsid w:val="00CB7FE5"/>
    <w:rsid w:val="00CC3D84"/>
    <w:rsid w:val="00CC5B6D"/>
    <w:rsid w:val="00CE4EAE"/>
    <w:rsid w:val="00D35B13"/>
    <w:rsid w:val="00D52334"/>
    <w:rsid w:val="00D640DA"/>
    <w:rsid w:val="00DC089A"/>
    <w:rsid w:val="00DC42D7"/>
    <w:rsid w:val="00DC7448"/>
    <w:rsid w:val="00DE6BBC"/>
    <w:rsid w:val="00DE6E5D"/>
    <w:rsid w:val="00E05E84"/>
    <w:rsid w:val="00E11FD0"/>
    <w:rsid w:val="00E150D1"/>
    <w:rsid w:val="00E6163C"/>
    <w:rsid w:val="00E63447"/>
    <w:rsid w:val="00EA0DF0"/>
    <w:rsid w:val="00EB0EDF"/>
    <w:rsid w:val="00F05D9F"/>
    <w:rsid w:val="00F070F5"/>
    <w:rsid w:val="00F073BC"/>
    <w:rsid w:val="00F07C9E"/>
    <w:rsid w:val="00F42603"/>
    <w:rsid w:val="00F51777"/>
    <w:rsid w:val="00F67004"/>
    <w:rsid w:val="00FC2C15"/>
    <w:rsid w:val="01E5030B"/>
    <w:rsid w:val="0372D3BA"/>
    <w:rsid w:val="0378B721"/>
    <w:rsid w:val="041A9514"/>
    <w:rsid w:val="06AA747C"/>
    <w:rsid w:val="0B4CD881"/>
    <w:rsid w:val="0D79F21A"/>
    <w:rsid w:val="11ABE88C"/>
    <w:rsid w:val="11D56F87"/>
    <w:rsid w:val="139BDF72"/>
    <w:rsid w:val="13F5F7FA"/>
    <w:rsid w:val="14CBF177"/>
    <w:rsid w:val="182634DC"/>
    <w:rsid w:val="1F46A931"/>
    <w:rsid w:val="1FA55102"/>
    <w:rsid w:val="1FCA48B3"/>
    <w:rsid w:val="208B8B64"/>
    <w:rsid w:val="20FCB98C"/>
    <w:rsid w:val="25806930"/>
    <w:rsid w:val="27B12F36"/>
    <w:rsid w:val="28AB61A7"/>
    <w:rsid w:val="28B76875"/>
    <w:rsid w:val="28B809F2"/>
    <w:rsid w:val="28ECD772"/>
    <w:rsid w:val="299375A5"/>
    <w:rsid w:val="2B57B3C5"/>
    <w:rsid w:val="2D607681"/>
    <w:rsid w:val="2E3CEEFD"/>
    <w:rsid w:val="302B24E8"/>
    <w:rsid w:val="303AA748"/>
    <w:rsid w:val="30C9676C"/>
    <w:rsid w:val="3342ACE1"/>
    <w:rsid w:val="36781195"/>
    <w:rsid w:val="37785B01"/>
    <w:rsid w:val="38604640"/>
    <w:rsid w:val="38E011EE"/>
    <w:rsid w:val="3F614921"/>
    <w:rsid w:val="40EC8007"/>
    <w:rsid w:val="42065F53"/>
    <w:rsid w:val="42CFDBC3"/>
    <w:rsid w:val="44467D66"/>
    <w:rsid w:val="44D2529C"/>
    <w:rsid w:val="4577D846"/>
    <w:rsid w:val="476D526B"/>
    <w:rsid w:val="478B24CC"/>
    <w:rsid w:val="4809F35E"/>
    <w:rsid w:val="4ED50CE8"/>
    <w:rsid w:val="51EA5148"/>
    <w:rsid w:val="52126751"/>
    <w:rsid w:val="56E0EB1C"/>
    <w:rsid w:val="5877C62D"/>
    <w:rsid w:val="59CD1BF1"/>
    <w:rsid w:val="5AE0D6DE"/>
    <w:rsid w:val="5DE74B3E"/>
    <w:rsid w:val="5ED2DDE0"/>
    <w:rsid w:val="5FC6E39E"/>
    <w:rsid w:val="64373E42"/>
    <w:rsid w:val="64F3975D"/>
    <w:rsid w:val="6A2B6938"/>
    <w:rsid w:val="6ABBDF95"/>
    <w:rsid w:val="6D636D78"/>
    <w:rsid w:val="745B75B5"/>
    <w:rsid w:val="75FEA02F"/>
    <w:rsid w:val="7763357E"/>
    <w:rsid w:val="7C668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C16602">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280528"/>
    <w:rsid w:val="003032FD"/>
    <w:rsid w:val="003A2EB7"/>
    <w:rsid w:val="003D3609"/>
    <w:rsid w:val="003F1EFC"/>
    <w:rsid w:val="004122B1"/>
    <w:rsid w:val="00415776"/>
    <w:rsid w:val="00486815"/>
    <w:rsid w:val="00736BF8"/>
    <w:rsid w:val="00801325"/>
    <w:rsid w:val="0088601F"/>
    <w:rsid w:val="0088791F"/>
    <w:rsid w:val="008F7034"/>
    <w:rsid w:val="009C4927"/>
    <w:rsid w:val="00A06EF3"/>
    <w:rsid w:val="00A1700A"/>
    <w:rsid w:val="00C16602"/>
    <w:rsid w:val="00C9391D"/>
    <w:rsid w:val="00CB0B54"/>
    <w:rsid w:val="00D579AE"/>
    <w:rsid w:val="00E612D9"/>
    <w:rsid w:val="00ED0082"/>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EFC"/>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 w:type="paragraph" w:customStyle="1" w:styleId="A1AAC19ADED94CA2801AE24A09EF14CC">
    <w:name w:val="A1AAC19ADED94CA2801AE24A09EF14CC"/>
    <w:rsid w:val="003F1EFC"/>
  </w:style>
  <w:style w:type="paragraph" w:customStyle="1" w:styleId="E7408DB026EB43FF9C2935E359ACF087">
    <w:name w:val="E7408DB026EB43FF9C2935E359ACF087"/>
    <w:rsid w:val="003F1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83780F47E0821643A1E3790F900EDCFA" ma:contentTypeVersion="" ma:contentTypeDescription="" ma:contentTypeScope="" ma:versionID="1d8813d9804e604abbd31e027296edd3">
  <xsd:schema xmlns:xsd="http://www.w3.org/2001/XMLSchema" xmlns:xs="http://www.w3.org/2001/XMLSchema" xmlns:p="http://schemas.microsoft.com/office/2006/metadata/properties" xmlns:ns2="57f7b5ec-d6f9-4586-b8f1-4bafa1e1a135" xmlns:ns3="ff5387ce-fd0b-4726-82b5-86e9275fbfac" targetNamespace="http://schemas.microsoft.com/office/2006/metadata/properties" ma:root="true" ma:fieldsID="dd58d241a9280aa79191768814a2cdfd" ns2:_="" ns3:_="">
    <xsd:import namespace="57f7b5ec-d6f9-4586-b8f1-4bafa1e1a135"/>
    <xsd:import namespace="ff5387ce-fd0b-4726-82b5-86e9275fbfac"/>
    <xsd:element name="properties">
      <xsd:complexType>
        <xsd:sequence>
          <xsd:element name="documentManagement">
            <xsd:complexType>
              <xsd:all>
                <xsd:element ref="ns2:FundingYear" minOccurs="0"/>
                <xsd:element ref="ns2:StepInProces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element name="TaxCatchAll" ma:index="11" nillable="true" ma:displayName="Taxonomy Catch All Column" ma:hidden="true" ma:list="{E93600A7-7599-474B-A579-18399DA8A81A}" ma:internalName="TaxCatchAll" ma:showField="CatchAllData" ma:web="{049cf808-7320-4747-a84d-5b4f78affc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387ce-fd0b-4726-82b5-86e9275fbfac"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f7b5ec-d6f9-4586-b8f1-4bafa1e1a135" xsi:nil="true"/>
    <lcf76f155ced4ddcb4097134ff3c332f xmlns="ff5387ce-fd0b-4726-82b5-86e9275fbfac" xsi:nil="true"/>
    <StepInProcess xmlns="57f7b5ec-d6f9-4586-b8f1-4bafa1e1a135" xsi:nil="true"/>
    <FundingYear xmlns="57f7b5ec-d6f9-4586-b8f1-4bafa1e1a1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B64B-092D-465F-A230-FB3B68E5E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ff5387ce-fd0b-4726-82b5-86e9275fb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 ds:uri="ff5387ce-fd0b-4726-82b5-86e9275fbfac"/>
  </ds:schemaRefs>
</ds:datastoreItem>
</file>

<file path=customXml/itemProps4.xml><?xml version="1.0" encoding="utf-8"?>
<ds:datastoreItem xmlns:ds="http://schemas.openxmlformats.org/officeDocument/2006/customXml" ds:itemID="{40A9DE0C-DCDB-44E1-9869-5FED62D0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2</cp:revision>
  <dcterms:created xsi:type="dcterms:W3CDTF">2023-12-13T22:05:00Z</dcterms:created>
  <dcterms:modified xsi:type="dcterms:W3CDTF">2023-12-13T22:05:00Z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0x01010073F264EB98420441902D47145245CDE40083780F47E0821643A1E3790F900EDCFA</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