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24CBDF9C"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bookmarkStart w:id="0" w:name="_Hlk124948992"/>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2979A6" w:rsidRPr="002979A6">
            <w:rPr>
              <w:rStyle w:val="PlaceholderText"/>
              <w:color w:val="auto"/>
              <w:sz w:val="32"/>
            </w:rPr>
            <w:t>PRO-FY2023-C</w:t>
          </w:r>
          <w:r w:rsidR="000D34AA">
            <w:rPr>
              <w:rStyle w:val="PlaceholderText"/>
              <w:color w:val="auto"/>
              <w:sz w:val="32"/>
            </w:rPr>
            <w:t>1</w:t>
          </w:r>
          <w:r w:rsidR="002979A6" w:rsidRPr="002979A6">
            <w:rPr>
              <w:rStyle w:val="PlaceholderText"/>
              <w:color w:val="auto"/>
              <w:sz w:val="32"/>
            </w:rPr>
            <w:t>-</w:t>
          </w:r>
          <w:r w:rsidR="000D34AA">
            <w:rPr>
              <w:rStyle w:val="PlaceholderText"/>
              <w:color w:val="auto"/>
              <w:sz w:val="32"/>
            </w:rPr>
            <w:t>LF</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42DA46D1" w:rsidR="00E11FD0" w:rsidRPr="007A5672" w:rsidRDefault="00481A9C">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2979A6" w:rsidRPr="002979A6">
            <w:rPr>
              <w:rFonts w:eastAsia="Arial" w:cstheme="minorHAnsi"/>
              <w:color w:val="000000" w:themeColor="text1"/>
            </w:rPr>
            <w:t xml:space="preserve">Prospect </w:t>
          </w:r>
          <w:r w:rsidR="006A395E" w:rsidRPr="002979A6">
            <w:rPr>
              <w:rFonts w:eastAsia="Arial" w:cstheme="minorHAnsi"/>
              <w:color w:val="000000" w:themeColor="text1"/>
            </w:rPr>
            <w:t>School District</w:t>
          </w:r>
        </w:sdtContent>
      </w:sdt>
      <w:r w:rsidR="00DC42D7" w:rsidRPr="002979A6">
        <w:rPr>
          <w:rFonts w:eastAsia="Arial" w:cstheme="minorHAnsi"/>
          <w:color w:val="000000" w:themeColor="text1"/>
        </w:rPr>
        <w:t>, hereafter</w:t>
      </w:r>
      <w:r w:rsidR="00DC42D7" w:rsidRPr="007A5672">
        <w:rPr>
          <w:rFonts w:eastAsia="Arial" w:cstheme="minorHAnsi"/>
          <w:color w:val="000000" w:themeColor="text1"/>
        </w:rPr>
        <w:t xml:space="preserve">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50412A" w14:paraId="044AC2C9" w14:textId="77777777" w:rsidTr="38604640">
        <w:tc>
          <w:tcPr>
            <w:tcW w:w="2460" w:type="dxa"/>
          </w:tcPr>
          <w:p w14:paraId="47C2FEDE" w14:textId="5B368246" w:rsidR="00DE6BBC" w:rsidRPr="0050412A" w:rsidRDefault="00DE6BBC" w:rsidP="00DE6BBC">
            <w:pPr>
              <w:pStyle w:val="NoSpacing"/>
              <w:rPr>
                <w:rFonts w:cstheme="minorHAnsi"/>
                <w:b/>
              </w:rPr>
            </w:pPr>
            <w:r w:rsidRPr="0050412A">
              <w:rPr>
                <w:rFonts w:cstheme="minorHAnsi"/>
                <w:b/>
              </w:rPr>
              <w:t>Issue Date:</w:t>
            </w:r>
          </w:p>
        </w:tc>
        <w:tc>
          <w:tcPr>
            <w:tcW w:w="6890" w:type="dxa"/>
            <w:tcBorders>
              <w:bottom w:val="single" w:sz="4" w:space="0" w:color="auto"/>
            </w:tcBorders>
          </w:tcPr>
          <w:p w14:paraId="054D2FC1" w14:textId="5D6FFD2A" w:rsidR="00DE6BBC" w:rsidRPr="0050412A" w:rsidRDefault="0050412A" w:rsidP="00DE6BBC">
            <w:pPr>
              <w:pStyle w:val="NoSpacing"/>
              <w:rPr>
                <w:rFonts w:cstheme="minorHAnsi"/>
                <w:color w:val="FF0000"/>
              </w:rPr>
            </w:pPr>
            <w:r w:rsidRPr="0050412A">
              <w:rPr>
                <w:rFonts w:cstheme="minorHAnsi"/>
              </w:rPr>
              <w:t>January 2</w:t>
            </w:r>
            <w:r w:rsidR="004C3784">
              <w:rPr>
                <w:rFonts w:cstheme="minorHAnsi"/>
              </w:rPr>
              <w:t>6</w:t>
            </w:r>
            <w:r w:rsidR="004C3784" w:rsidRPr="004C3784">
              <w:rPr>
                <w:rFonts w:cstheme="minorHAnsi"/>
                <w:vertAlign w:val="superscript"/>
              </w:rPr>
              <w:t>th</w:t>
            </w:r>
            <w:r w:rsidRPr="0050412A">
              <w:rPr>
                <w:rFonts w:cstheme="minorHAnsi"/>
              </w:rPr>
              <w:t>, 2023</w:t>
            </w:r>
          </w:p>
        </w:tc>
      </w:tr>
      <w:tr w:rsidR="00DE6BBC" w:rsidRPr="0050412A" w14:paraId="1F82515A" w14:textId="77777777" w:rsidTr="38604640">
        <w:tc>
          <w:tcPr>
            <w:tcW w:w="2460" w:type="dxa"/>
          </w:tcPr>
          <w:p w14:paraId="6CBE8D95" w14:textId="7A9AC2DE" w:rsidR="00DE6BBC" w:rsidRPr="0050412A" w:rsidRDefault="00DE6BBC" w:rsidP="00DE6BBC">
            <w:pPr>
              <w:pStyle w:val="NoSpacing"/>
              <w:rPr>
                <w:rFonts w:cstheme="minorHAnsi"/>
                <w:b/>
              </w:rPr>
            </w:pPr>
            <w:r w:rsidRPr="0050412A">
              <w:rPr>
                <w:rFonts w:cstheme="minorHAnsi"/>
                <w:b/>
              </w:rPr>
              <w:t>Questions Due Before:</w:t>
            </w:r>
          </w:p>
        </w:tc>
        <w:tc>
          <w:tcPr>
            <w:tcW w:w="6890" w:type="dxa"/>
            <w:tcBorders>
              <w:top w:val="single" w:sz="4" w:space="0" w:color="auto"/>
              <w:bottom w:val="single" w:sz="4" w:space="0" w:color="auto"/>
            </w:tcBorders>
          </w:tcPr>
          <w:p w14:paraId="2849736B" w14:textId="4790768C" w:rsidR="00DE6BBC" w:rsidRPr="0050412A" w:rsidRDefault="0050412A" w:rsidP="00DE6BBC">
            <w:pPr>
              <w:pStyle w:val="NoSpacing"/>
              <w:rPr>
                <w:rFonts w:cstheme="minorHAnsi"/>
              </w:rPr>
            </w:pPr>
            <w:r w:rsidRPr="0050412A">
              <w:rPr>
                <w:rFonts w:cstheme="minorHAnsi"/>
              </w:rPr>
              <w:t>February 1</w:t>
            </w:r>
            <w:r w:rsidR="004C3784">
              <w:rPr>
                <w:rFonts w:cstheme="minorHAnsi"/>
              </w:rPr>
              <w:t>6</w:t>
            </w:r>
            <w:r w:rsidRPr="0050412A">
              <w:rPr>
                <w:rFonts w:cstheme="minorHAnsi"/>
              </w:rPr>
              <w:t>th, 2023</w:t>
            </w:r>
          </w:p>
        </w:tc>
      </w:tr>
      <w:tr w:rsidR="00DE6BBC" w:rsidRPr="0050412A" w14:paraId="6F2DC1C9" w14:textId="77777777" w:rsidTr="38604640">
        <w:tc>
          <w:tcPr>
            <w:tcW w:w="2460" w:type="dxa"/>
          </w:tcPr>
          <w:p w14:paraId="22672C08" w14:textId="58388592" w:rsidR="00DE6BBC" w:rsidRPr="0050412A" w:rsidRDefault="00DE6BBC" w:rsidP="00DE6BBC">
            <w:pPr>
              <w:pStyle w:val="NoSpacing"/>
              <w:rPr>
                <w:rFonts w:cstheme="minorHAnsi"/>
                <w:b/>
              </w:rPr>
            </w:pPr>
            <w:r w:rsidRPr="0050412A">
              <w:rPr>
                <w:rFonts w:cstheme="minorHAnsi"/>
                <w:b/>
              </w:rPr>
              <w:t>Responses Due:</w:t>
            </w:r>
          </w:p>
        </w:tc>
        <w:tc>
          <w:tcPr>
            <w:tcW w:w="6890" w:type="dxa"/>
            <w:tcBorders>
              <w:top w:val="single" w:sz="4" w:space="0" w:color="auto"/>
              <w:bottom w:val="single" w:sz="4" w:space="0" w:color="auto"/>
            </w:tcBorders>
          </w:tcPr>
          <w:p w14:paraId="07EE7232" w14:textId="745EC65F" w:rsidR="00DE6BBC" w:rsidRPr="0050412A" w:rsidRDefault="0050412A" w:rsidP="00DE6BBC">
            <w:pPr>
              <w:pStyle w:val="NoSpacing"/>
              <w:rPr>
                <w:rFonts w:cstheme="minorHAnsi"/>
              </w:rPr>
            </w:pPr>
            <w:r w:rsidRPr="0050412A">
              <w:rPr>
                <w:rFonts w:cstheme="minorHAnsi"/>
              </w:rPr>
              <w:t xml:space="preserve">February </w:t>
            </w:r>
            <w:r w:rsidR="004C3784">
              <w:rPr>
                <w:rFonts w:cstheme="minorHAnsi"/>
              </w:rPr>
              <w:t>23</w:t>
            </w:r>
            <w:r w:rsidR="004C3784" w:rsidRPr="004C3784">
              <w:rPr>
                <w:rFonts w:cstheme="minorHAnsi"/>
                <w:vertAlign w:val="superscript"/>
              </w:rPr>
              <w:t>rd</w:t>
            </w:r>
            <w:r w:rsidRPr="0050412A">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102"/>
      </w:tblGrid>
      <w:tr w:rsidR="002979A6" w:rsidRPr="002979A6" w14:paraId="117B20D4" w14:textId="77777777" w:rsidTr="38604640">
        <w:tc>
          <w:tcPr>
            <w:tcW w:w="2280" w:type="dxa"/>
          </w:tcPr>
          <w:p w14:paraId="51159FD9" w14:textId="45A2C664" w:rsidR="00F05D9F" w:rsidRPr="002979A6" w:rsidRDefault="00BA67A7" w:rsidP="00F05D9F">
            <w:pPr>
              <w:rPr>
                <w:rFonts w:cstheme="minorHAnsi"/>
                <w:b/>
              </w:rPr>
            </w:pPr>
            <w:r w:rsidRPr="002979A6">
              <w:rPr>
                <w:rFonts w:cstheme="minorHAnsi"/>
                <w:b/>
              </w:rPr>
              <w:t>District</w:t>
            </w:r>
            <w:r w:rsidR="00F05D9F" w:rsidRPr="002979A6">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6DB0AB4" w:rsidR="00F05D9F" w:rsidRPr="002979A6" w:rsidRDefault="002979A6" w:rsidP="00F05D9F">
                <w:pPr>
                  <w:rPr>
                    <w:rFonts w:cstheme="minorHAnsi"/>
                  </w:rPr>
                </w:pPr>
                <w:r w:rsidRPr="002979A6">
                  <w:rPr>
                    <w:rFonts w:cstheme="minorHAnsi"/>
                  </w:rPr>
                  <w:t>PROSPECT SCHOOL DISTRICT 59</w:t>
                </w:r>
              </w:p>
            </w:tc>
          </w:sdtContent>
        </w:sdt>
      </w:tr>
      <w:tr w:rsidR="002979A6" w:rsidRPr="002979A6" w14:paraId="4C1733EB" w14:textId="77777777" w:rsidTr="38604640">
        <w:tc>
          <w:tcPr>
            <w:tcW w:w="2280" w:type="dxa"/>
          </w:tcPr>
          <w:p w14:paraId="7DA5E01A" w14:textId="77777777" w:rsidR="00F05D9F" w:rsidRPr="002979A6" w:rsidRDefault="00F05D9F" w:rsidP="00F05D9F">
            <w:pPr>
              <w:rPr>
                <w:rFonts w:cstheme="minorHAnsi"/>
                <w:b/>
              </w:rPr>
            </w:pPr>
            <w:r w:rsidRPr="002979A6">
              <w:rPr>
                <w:rFonts w:cstheme="minorHAnsi"/>
                <w:b/>
              </w:rPr>
              <w:t>BEN:</w:t>
            </w:r>
          </w:p>
        </w:tc>
        <w:sdt>
          <w:sdtPr>
            <w:rPr>
              <w:rFonts w:ascii="Arial" w:hAnsi="Arial" w:cs="Arial"/>
              <w:sz w:val="21"/>
              <w:szCs w:val="21"/>
              <w:shd w:val="clear" w:color="auto" w:fill="FFFFFF"/>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1CC20B41" w:rsidR="00F05D9F" w:rsidRPr="002979A6" w:rsidRDefault="002979A6" w:rsidP="00F05D9F">
                <w:pPr>
                  <w:rPr>
                    <w:rFonts w:cstheme="minorHAnsi"/>
                  </w:rPr>
                </w:pPr>
                <w:r w:rsidRPr="002979A6">
                  <w:rPr>
                    <w:rFonts w:ascii="Arial" w:hAnsi="Arial" w:cs="Arial"/>
                    <w:sz w:val="21"/>
                    <w:szCs w:val="21"/>
                    <w:shd w:val="clear" w:color="auto" w:fill="FFFFFF"/>
                  </w:rPr>
                  <w:t>145058</w:t>
                </w:r>
              </w:p>
            </w:tc>
          </w:sdtContent>
        </w:sdt>
      </w:tr>
      <w:tr w:rsidR="002979A6" w:rsidRPr="002979A6" w14:paraId="51757E62" w14:textId="77777777" w:rsidTr="38604640">
        <w:tc>
          <w:tcPr>
            <w:tcW w:w="2280" w:type="dxa"/>
          </w:tcPr>
          <w:p w14:paraId="72EC71E8" w14:textId="2CADFF4E" w:rsidR="00F05D9F" w:rsidRPr="002979A6" w:rsidRDefault="00F05D9F" w:rsidP="00F05D9F">
            <w:pPr>
              <w:rPr>
                <w:rFonts w:cstheme="minorHAnsi"/>
                <w:b/>
              </w:rPr>
            </w:pPr>
            <w:r w:rsidRPr="002979A6">
              <w:rPr>
                <w:rFonts w:cstheme="minorHAnsi"/>
                <w:b/>
              </w:rPr>
              <w:t>Cat 1</w:t>
            </w:r>
            <w:r w:rsidR="00DC089A" w:rsidRPr="002979A6">
              <w:rPr>
                <w:rFonts w:cstheme="minorHAnsi"/>
                <w:b/>
              </w:rPr>
              <w:t xml:space="preserve"> </w:t>
            </w:r>
            <w:r w:rsidRPr="002979A6">
              <w:rPr>
                <w:rFonts w:cstheme="minorHAnsi"/>
                <w:b/>
              </w:rPr>
              <w:t>Discount Rate:</w:t>
            </w:r>
          </w:p>
        </w:tc>
        <w:tc>
          <w:tcPr>
            <w:tcW w:w="7070" w:type="dxa"/>
            <w:tcBorders>
              <w:bottom w:val="single" w:sz="4" w:space="0" w:color="auto"/>
            </w:tcBorders>
          </w:tcPr>
          <w:p w14:paraId="418E11E4" w14:textId="58F20B29" w:rsidR="00F05D9F" w:rsidRPr="002979A6" w:rsidRDefault="002979A6" w:rsidP="38604640">
            <w:r w:rsidRPr="002979A6">
              <w:t>80%</w:t>
            </w:r>
          </w:p>
        </w:tc>
      </w:tr>
      <w:tr w:rsidR="002979A6" w:rsidRPr="002979A6" w14:paraId="69698234" w14:textId="77777777" w:rsidTr="38604640">
        <w:tc>
          <w:tcPr>
            <w:tcW w:w="2280" w:type="dxa"/>
          </w:tcPr>
          <w:p w14:paraId="05551BE4" w14:textId="77777777" w:rsidR="00F05D9F" w:rsidRPr="002979A6" w:rsidRDefault="6A2B6938" w:rsidP="38604640">
            <w:pPr>
              <w:rPr>
                <w:b/>
                <w:bCs/>
              </w:rPr>
            </w:pPr>
            <w:r w:rsidRPr="002979A6">
              <w:rPr>
                <w:b/>
                <w:bCs/>
              </w:rPr>
              <w:t>Cat 2 Discount Rate:</w:t>
            </w:r>
          </w:p>
        </w:tc>
        <w:tc>
          <w:tcPr>
            <w:tcW w:w="7070" w:type="dxa"/>
            <w:tcBorders>
              <w:top w:val="single" w:sz="4" w:space="0" w:color="auto"/>
              <w:bottom w:val="single" w:sz="4" w:space="0" w:color="auto"/>
            </w:tcBorders>
          </w:tcPr>
          <w:p w14:paraId="74B11058" w14:textId="17DE92CD" w:rsidR="00F05D9F" w:rsidRPr="002979A6" w:rsidRDefault="002979A6" w:rsidP="38604640">
            <w:r w:rsidRPr="002979A6">
              <w:t>80%</w:t>
            </w:r>
          </w:p>
        </w:tc>
      </w:tr>
      <w:tr w:rsidR="002979A6" w:rsidRPr="002979A6" w14:paraId="5031A5DD" w14:textId="77777777" w:rsidTr="38604640">
        <w:tc>
          <w:tcPr>
            <w:tcW w:w="2280" w:type="dxa"/>
          </w:tcPr>
          <w:p w14:paraId="385E5CC6" w14:textId="77777777" w:rsidR="00F05D9F" w:rsidRPr="002979A6" w:rsidRDefault="00F05D9F" w:rsidP="00F05D9F">
            <w:pPr>
              <w:rPr>
                <w:rFonts w:cstheme="minorHAnsi"/>
                <w:b/>
              </w:rPr>
            </w:pPr>
            <w:r w:rsidRPr="002979A6">
              <w:rPr>
                <w:rFonts w:cstheme="minorHAnsi"/>
                <w:b/>
              </w:rPr>
              <w:t>Address:</w:t>
            </w:r>
          </w:p>
        </w:tc>
        <w:tc>
          <w:tcPr>
            <w:tcW w:w="7070" w:type="dxa"/>
            <w:tcBorders>
              <w:top w:val="single" w:sz="4" w:space="0" w:color="auto"/>
              <w:bottom w:val="single" w:sz="4" w:space="0" w:color="auto"/>
            </w:tcBorders>
          </w:tcPr>
          <w:p w14:paraId="27539760" w14:textId="5EAEEBCF"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160 MILL CREEK DRIVE, P.O. BOX 40</w:t>
            </w:r>
          </w:p>
        </w:tc>
      </w:tr>
      <w:tr w:rsidR="002979A6" w:rsidRPr="002979A6" w14:paraId="5A39BBE3" w14:textId="77777777" w:rsidTr="38604640">
        <w:tc>
          <w:tcPr>
            <w:tcW w:w="2280" w:type="dxa"/>
          </w:tcPr>
          <w:p w14:paraId="41C8F396" w14:textId="77777777" w:rsidR="00F05D9F" w:rsidRPr="002979A6" w:rsidRDefault="00F05D9F" w:rsidP="00F05D9F">
            <w:pPr>
              <w:rPr>
                <w:rFonts w:cstheme="minorHAnsi"/>
                <w:b/>
              </w:rPr>
            </w:pPr>
          </w:p>
        </w:tc>
        <w:tc>
          <w:tcPr>
            <w:tcW w:w="7070" w:type="dxa"/>
            <w:tcBorders>
              <w:top w:val="single" w:sz="4" w:space="0" w:color="auto"/>
              <w:bottom w:val="single" w:sz="4" w:space="0" w:color="auto"/>
            </w:tcBorders>
          </w:tcPr>
          <w:p w14:paraId="72A3D3EC" w14:textId="7D885360"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PROSPECT, OR 97536</w:t>
            </w:r>
          </w:p>
        </w:tc>
      </w:tr>
      <w:tr w:rsidR="002979A6" w:rsidRPr="002979A6" w14:paraId="31EBC709" w14:textId="77777777" w:rsidTr="38604640">
        <w:tc>
          <w:tcPr>
            <w:tcW w:w="2280" w:type="dxa"/>
          </w:tcPr>
          <w:p w14:paraId="0865E3EA" w14:textId="77777777" w:rsidR="00F05D9F" w:rsidRPr="002979A6" w:rsidRDefault="00F05D9F" w:rsidP="00F05D9F">
            <w:pPr>
              <w:rPr>
                <w:rFonts w:cstheme="minorHAnsi"/>
                <w:b/>
              </w:rPr>
            </w:pPr>
            <w:r w:rsidRPr="002979A6">
              <w:rPr>
                <w:rFonts w:cstheme="minorHAnsi"/>
                <w:b/>
              </w:rPr>
              <w:t>Telephone:</w:t>
            </w:r>
          </w:p>
        </w:tc>
        <w:tc>
          <w:tcPr>
            <w:tcW w:w="7070" w:type="dxa"/>
            <w:tcBorders>
              <w:top w:val="single" w:sz="4" w:space="0" w:color="auto"/>
              <w:bottom w:val="single" w:sz="4" w:space="0" w:color="auto"/>
            </w:tcBorders>
          </w:tcPr>
          <w:p w14:paraId="35D32CB8" w14:textId="53603E76" w:rsidR="00F05D9F" w:rsidRPr="002979A6" w:rsidRDefault="002979A6" w:rsidP="38604640">
            <w:pPr>
              <w:spacing w:line="259" w:lineRule="auto"/>
              <w:rPr>
                <w:rFonts w:ascii="Calibri" w:eastAsia="Calibri" w:hAnsi="Calibri" w:cs="Calibri"/>
              </w:rPr>
            </w:pPr>
            <w:r w:rsidRPr="002979A6">
              <w:rPr>
                <w:rFonts w:ascii="Arial" w:hAnsi="Arial" w:cs="Arial"/>
                <w:sz w:val="21"/>
                <w:szCs w:val="21"/>
                <w:shd w:val="clear" w:color="auto" w:fill="FFFFFF"/>
              </w:rPr>
              <w:t>541-560-3653</w:t>
            </w:r>
          </w:p>
        </w:tc>
      </w:tr>
    </w:tbl>
    <w:p w14:paraId="0D0B940D" w14:textId="77777777" w:rsidR="00CB6013" w:rsidRPr="00BA67A7" w:rsidRDefault="00CB6013" w:rsidP="002B6C40">
      <w:pPr>
        <w:rPr>
          <w:rFonts w:cstheme="minorHAnsi"/>
          <w:sz w:val="28"/>
          <w:highlight w:val="yellow"/>
        </w:rPr>
      </w:pPr>
    </w:p>
    <w:p w14:paraId="523729E4" w14:textId="77777777" w:rsidR="00DC42D7" w:rsidRPr="004C3784" w:rsidRDefault="00DC42D7" w:rsidP="00C84039">
      <w:pPr>
        <w:pStyle w:val="Heading1"/>
      </w:pPr>
      <w:bookmarkStart w:id="5" w:name="_Toc67983259"/>
      <w:r w:rsidRPr="004C3784">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4C3784" w14:paraId="3C94A38E" w14:textId="77777777" w:rsidTr="38604640">
        <w:tc>
          <w:tcPr>
            <w:tcW w:w="1710" w:type="dxa"/>
          </w:tcPr>
          <w:p w14:paraId="7B6F25B4" w14:textId="77777777" w:rsidR="00F05D9F" w:rsidRPr="004C3784" w:rsidRDefault="00F05D9F" w:rsidP="00F05D9F">
            <w:pPr>
              <w:rPr>
                <w:rFonts w:cstheme="minorHAnsi"/>
                <w:b/>
              </w:rPr>
            </w:pPr>
            <w:r w:rsidRPr="004C3784">
              <w:rPr>
                <w:rFonts w:cstheme="minorHAnsi"/>
                <w:b/>
              </w:rPr>
              <w:t>Contact Name:</w:t>
            </w:r>
          </w:p>
        </w:tc>
        <w:tc>
          <w:tcPr>
            <w:tcW w:w="7640" w:type="dxa"/>
            <w:tcBorders>
              <w:bottom w:val="single" w:sz="4" w:space="0" w:color="auto"/>
            </w:tcBorders>
          </w:tcPr>
          <w:p w14:paraId="270FC775" w14:textId="75B5305D" w:rsidR="00F05D9F" w:rsidRPr="004C3784" w:rsidRDefault="0050412A" w:rsidP="38604640">
            <w:pPr>
              <w:rPr>
                <w:rFonts w:ascii="Arial" w:eastAsia="Arial" w:hAnsi="Arial" w:cs="Arial"/>
                <w:color w:val="222222"/>
              </w:rPr>
            </w:pPr>
            <w:r w:rsidRPr="004C3784">
              <w:rPr>
                <w:rFonts w:ascii="Arial" w:eastAsia="Arial" w:hAnsi="Arial" w:cs="Arial"/>
                <w:color w:val="222222"/>
              </w:rPr>
              <w:t>Israel Mathewson</w:t>
            </w:r>
          </w:p>
        </w:tc>
      </w:tr>
      <w:tr w:rsidR="0050412A" w:rsidRPr="00BA67A7" w14:paraId="2D1F61DD" w14:textId="77777777" w:rsidTr="38604640">
        <w:tc>
          <w:tcPr>
            <w:tcW w:w="1710" w:type="dxa"/>
          </w:tcPr>
          <w:p w14:paraId="2702B4C6" w14:textId="7030587B" w:rsidR="0050412A" w:rsidRPr="004C3784" w:rsidRDefault="0050412A" w:rsidP="00F05D9F">
            <w:pPr>
              <w:rPr>
                <w:rFonts w:cstheme="minorHAnsi"/>
                <w:b/>
              </w:rPr>
            </w:pPr>
            <w:r w:rsidRPr="004C3784">
              <w:rPr>
                <w:rFonts w:cstheme="minorHAnsi"/>
                <w:b/>
              </w:rPr>
              <w:t>Email:</w:t>
            </w:r>
          </w:p>
        </w:tc>
        <w:tc>
          <w:tcPr>
            <w:tcW w:w="7640" w:type="dxa"/>
            <w:tcBorders>
              <w:top w:val="single" w:sz="4" w:space="0" w:color="auto"/>
              <w:bottom w:val="single" w:sz="4" w:space="0" w:color="auto"/>
            </w:tcBorders>
          </w:tcPr>
          <w:p w14:paraId="6AB2EF2B" w14:textId="09BF6877" w:rsidR="0050412A" w:rsidRPr="004C3784" w:rsidRDefault="0050412A" w:rsidP="38604640">
            <w:pPr>
              <w:rPr>
                <w:rFonts w:ascii="Arial" w:eastAsia="Arial" w:hAnsi="Arial" w:cs="Arial"/>
                <w:color w:val="222222"/>
              </w:rPr>
            </w:pPr>
            <w:r w:rsidRPr="004C3784">
              <w:rPr>
                <w:rFonts w:ascii="Helvetica" w:hAnsi="Helvetica" w:cs="Helvetica"/>
                <w:color w:val="222222"/>
                <w:sz w:val="21"/>
                <w:szCs w:val="21"/>
                <w:shd w:val="clear" w:color="auto" w:fill="FFFFFF"/>
              </w:rPr>
              <w:t>israel_mathewson@soesd.k12.or.us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2979A6" w:rsidRDefault="00801098" w:rsidP="00C84039">
      <w:pPr>
        <w:pStyle w:val="Heading1"/>
      </w:pPr>
      <w:bookmarkStart w:id="49" w:name="_Toc67983305"/>
      <w:r w:rsidRPr="002979A6">
        <w:lastRenderedPageBreak/>
        <w:t>TECHNICAL ENVIRONMENT</w:t>
      </w:r>
      <w:bookmarkEnd w:id="49"/>
      <w:r w:rsidRPr="002979A6">
        <w:t xml:space="preserve"> </w:t>
      </w:r>
    </w:p>
    <w:p w14:paraId="0208BA56" w14:textId="34573109" w:rsidR="00CB6013" w:rsidRPr="002979A6" w:rsidRDefault="007D2D1E" w:rsidP="00C84039">
      <w:pPr>
        <w:pStyle w:val="Heading2"/>
        <w:rPr>
          <w:b/>
          <w:color w:val="auto"/>
        </w:rPr>
      </w:pPr>
      <w:bookmarkStart w:id="50" w:name="_Toc67983306"/>
      <w:r w:rsidRPr="002979A6">
        <w:rPr>
          <w:b/>
          <w:color w:val="auto"/>
        </w:rPr>
        <w:t>School</w:t>
      </w:r>
      <w:r w:rsidR="00CB6013" w:rsidRPr="002979A6">
        <w:rPr>
          <w:b/>
          <w:color w:val="auto"/>
        </w:rPr>
        <w:t xml:space="preserve"> </w:t>
      </w:r>
      <w:r w:rsidR="00A20313" w:rsidRPr="002979A6">
        <w:rPr>
          <w:b/>
          <w:color w:val="auto"/>
        </w:rPr>
        <w:t>Buildings</w:t>
      </w:r>
      <w:bookmarkEnd w:id="50"/>
    </w:p>
    <w:p w14:paraId="0DE4B5B7" w14:textId="0A6AA9A3" w:rsidR="00CB6013" w:rsidRPr="002979A6"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112"/>
        <w:gridCol w:w="5108"/>
        <w:gridCol w:w="705"/>
      </w:tblGrid>
      <w:tr w:rsidR="007D2D1E" w:rsidRPr="002979A6" w14:paraId="30531285" w14:textId="77777777" w:rsidTr="002979A6">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2979A6" w:rsidRDefault="007D2D1E" w:rsidP="007D2D1E">
            <w:pPr>
              <w:spacing w:after="0" w:line="240" w:lineRule="auto"/>
              <w:textAlignment w:val="baseline"/>
              <w:rPr>
                <w:rFonts w:ascii="Segoe UI" w:eastAsia="Times New Roman" w:hAnsi="Segoe UI" w:cs="Segoe UI"/>
                <w:sz w:val="18"/>
                <w:szCs w:val="18"/>
              </w:rPr>
            </w:pPr>
            <w:bookmarkStart w:id="51" w:name="_Toc67983307"/>
            <w:r w:rsidRPr="002979A6">
              <w:rPr>
                <w:rFonts w:ascii="Calibri" w:eastAsia="Times New Roman" w:hAnsi="Calibri" w:cs="Calibri"/>
                <w:b/>
                <w:bCs/>
                <w:color w:val="FFFFFF"/>
              </w:rPr>
              <w:t>#</w:t>
            </w:r>
            <w:r w:rsidRPr="002979A6">
              <w:rPr>
                <w:rFonts w:ascii="Calibri" w:eastAsia="Times New Roman" w:hAnsi="Calibri" w:cs="Calibri"/>
                <w:color w:val="FFFFFF"/>
              </w:rPr>
              <w:t> </w:t>
            </w:r>
          </w:p>
        </w:tc>
        <w:tc>
          <w:tcPr>
            <w:tcW w:w="311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Entity</w:t>
            </w:r>
            <w:r w:rsidRPr="002979A6">
              <w:rPr>
                <w:rFonts w:ascii="Calibri" w:eastAsia="Times New Roman" w:hAnsi="Calibri" w:cs="Calibri"/>
                <w:color w:val="FFFFFF"/>
              </w:rPr>
              <w:t> </w:t>
            </w:r>
          </w:p>
        </w:tc>
        <w:tc>
          <w:tcPr>
            <w:tcW w:w="5108"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Address</w:t>
            </w:r>
            <w:r w:rsidRPr="002979A6">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FFFFFF"/>
              </w:rPr>
              <w:t>NIF</w:t>
            </w:r>
            <w:r w:rsidRPr="002979A6">
              <w:rPr>
                <w:rFonts w:ascii="Calibri" w:eastAsia="Times New Roman" w:hAnsi="Calibri" w:cs="Calibri"/>
                <w:color w:val="FFFFFF"/>
              </w:rPr>
              <w:t> </w:t>
            </w:r>
          </w:p>
        </w:tc>
      </w:tr>
      <w:tr w:rsidR="007D2D1E" w:rsidRPr="00BA67A7" w14:paraId="2DE9B9D3" w14:textId="77777777" w:rsidTr="002979A6">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2979A6" w:rsidRDefault="007D2D1E" w:rsidP="007D2D1E">
            <w:pPr>
              <w:spacing w:after="0" w:line="240" w:lineRule="auto"/>
              <w:textAlignment w:val="baseline"/>
              <w:rPr>
                <w:rFonts w:ascii="Segoe UI" w:eastAsia="Times New Roman" w:hAnsi="Segoe UI" w:cs="Segoe UI"/>
                <w:sz w:val="18"/>
                <w:szCs w:val="18"/>
              </w:rPr>
            </w:pPr>
            <w:r w:rsidRPr="002979A6">
              <w:rPr>
                <w:rFonts w:ascii="Calibri" w:eastAsia="Times New Roman" w:hAnsi="Calibri" w:cs="Calibri"/>
                <w:b/>
                <w:bCs/>
                <w:color w:val="000000"/>
              </w:rPr>
              <w:t>1</w:t>
            </w:r>
            <w:r w:rsidRPr="002979A6">
              <w:rPr>
                <w:rFonts w:ascii="Calibri" w:eastAsia="Times New Roman" w:hAnsi="Calibri" w:cs="Calibri"/>
                <w:color w:val="000000"/>
              </w:rPr>
              <w:t> </w:t>
            </w:r>
          </w:p>
        </w:tc>
        <w:tc>
          <w:tcPr>
            <w:tcW w:w="3112"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66202F8B" w:rsidR="007D2D1E" w:rsidRPr="002979A6" w:rsidRDefault="002979A6" w:rsidP="007D2D1E">
            <w:pPr>
              <w:spacing w:after="0" w:line="240" w:lineRule="auto"/>
              <w:textAlignment w:val="baseline"/>
              <w:rPr>
                <w:rFonts w:ascii="Segoe UI" w:eastAsia="Times New Roman" w:hAnsi="Segoe UI" w:cs="Segoe UI"/>
                <w:sz w:val="18"/>
                <w:szCs w:val="18"/>
              </w:rPr>
            </w:pPr>
            <w:r w:rsidRPr="002979A6">
              <w:rPr>
                <w:rFonts w:ascii="Segoe UI" w:eastAsia="Times New Roman" w:hAnsi="Segoe UI" w:cs="Segoe UI"/>
                <w:sz w:val="18"/>
                <w:szCs w:val="18"/>
              </w:rPr>
              <w:t>PROSPECT CHARTER SCHOOL</w:t>
            </w:r>
          </w:p>
        </w:tc>
        <w:tc>
          <w:tcPr>
            <w:tcW w:w="5108"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852940E" w:rsidR="007D2D1E" w:rsidRPr="00BA67A7" w:rsidRDefault="002979A6" w:rsidP="007D2D1E">
            <w:pPr>
              <w:spacing w:after="0" w:line="240" w:lineRule="auto"/>
              <w:textAlignment w:val="baseline"/>
              <w:rPr>
                <w:rFonts w:ascii="Segoe UI" w:eastAsia="Times New Roman" w:hAnsi="Segoe UI" w:cs="Segoe UI"/>
                <w:sz w:val="18"/>
                <w:szCs w:val="18"/>
              </w:rPr>
            </w:pPr>
            <w:r w:rsidRPr="002979A6">
              <w:rPr>
                <w:rFonts w:ascii="Segoe UI" w:eastAsia="Times New Roman" w:hAnsi="Segoe UI" w:cs="Segoe UI"/>
                <w:sz w:val="18"/>
                <w:szCs w:val="18"/>
              </w:rPr>
              <w:t>160 MILL CREEK DRIVE; PO BOX 40 PROSPECT, OR 97536</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color w:val="000000"/>
              </w:rPr>
              <w:t> </w:t>
            </w:r>
          </w:p>
        </w:tc>
      </w:tr>
    </w:tbl>
    <w:p w14:paraId="62C63D8A" w14:textId="77777777" w:rsidR="00712130" w:rsidRPr="00BA67A7" w:rsidRDefault="00712130" w:rsidP="00B82460">
      <w:pPr>
        <w:rPr>
          <w:rStyle w:val="Heading2Char"/>
          <w:b/>
          <w:color w:val="auto"/>
          <w:highlight w:val="yellow"/>
        </w:rPr>
      </w:pPr>
    </w:p>
    <w:p w14:paraId="6E037933" w14:textId="164D8BF2" w:rsidR="004C3784" w:rsidRPr="004C3784" w:rsidRDefault="004C3784" w:rsidP="004C3784">
      <w:pPr>
        <w:rPr>
          <w:rStyle w:val="normaltextrun"/>
          <w:rFonts w:ascii="Calibri" w:hAnsi="Calibri" w:cs="Calibri"/>
          <w:color w:val="000000"/>
          <w:shd w:val="clear" w:color="auto" w:fill="FFFFFF"/>
        </w:rPr>
      </w:pPr>
      <w:bookmarkStart w:id="52" w:name="_Toc67983309"/>
      <w:bookmarkEnd w:id="51"/>
      <w:r w:rsidRPr="004C3784">
        <w:rPr>
          <w:rStyle w:val="Heading2Char"/>
          <w:b/>
          <w:color w:val="auto"/>
        </w:rPr>
        <w:t>Internet Service Provider (ISP)</w:t>
      </w:r>
      <w:r w:rsidRPr="004C3784">
        <w:rPr>
          <w:rFonts w:cstheme="minorHAnsi"/>
          <w:b/>
          <w:bCs/>
        </w:rPr>
        <w:t xml:space="preserve"> </w:t>
      </w:r>
      <w:r w:rsidRPr="004C3784">
        <w:rPr>
          <w:rFonts w:cstheme="minorHAnsi"/>
        </w:rPr>
        <w:br/>
      </w:r>
      <w:r w:rsidRPr="004C3784">
        <w:rPr>
          <w:rStyle w:val="normaltextrun"/>
          <w:rFonts w:ascii="Calibri" w:hAnsi="Calibri" w:cs="Calibri"/>
          <w:color w:val="000000"/>
          <w:shd w:val="clear" w:color="auto" w:fill="FFFFFF"/>
        </w:rPr>
        <w:t>Lit fiber connecting the School to its ISP and terminates in the </w:t>
      </w:r>
      <w:proofErr w:type="spellStart"/>
      <w:r w:rsidRPr="004C3784">
        <w:rPr>
          <w:rStyle w:val="normaltextrun"/>
          <w:rFonts w:ascii="Calibri" w:hAnsi="Calibri" w:cs="Calibri"/>
          <w:color w:val="000000"/>
          <w:shd w:val="clear" w:color="auto" w:fill="FFFFFF"/>
        </w:rPr>
        <w:t>demarc</w:t>
      </w:r>
      <w:proofErr w:type="spellEnd"/>
      <w:r w:rsidRPr="004C3784">
        <w:rPr>
          <w:rStyle w:val="normaltextrun"/>
          <w:rFonts w:ascii="Calibri" w:hAnsi="Calibri" w:cs="Calibri"/>
          <w:color w:val="000000"/>
          <w:shd w:val="clear" w:color="auto" w:fill="FFFFFF"/>
        </w:rPr>
        <w:t> located at 101 N Grape Street, Medford Oregon, 97501</w:t>
      </w:r>
    </w:p>
    <w:p w14:paraId="5289491A" w14:textId="77777777"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50412A" w:rsidRDefault="00CB6013" w:rsidP="00C84039">
      <w:pPr>
        <w:pStyle w:val="Heading1"/>
      </w:pPr>
      <w:bookmarkStart w:id="53" w:name="_Toc67983310"/>
      <w:r w:rsidRPr="0050412A">
        <w:lastRenderedPageBreak/>
        <w:t>SCOPE OF WORK</w:t>
      </w:r>
      <w:bookmarkEnd w:id="53"/>
    </w:p>
    <w:p w14:paraId="6B1D3884" w14:textId="2578EC3F" w:rsidR="004C3784" w:rsidRPr="004C3784" w:rsidRDefault="004C3784" w:rsidP="004C3784">
      <w:pPr>
        <w:rPr>
          <w:rStyle w:val="normaltextrun"/>
          <w:rFonts w:ascii="Calibri" w:hAnsi="Calibri" w:cs="Calibri"/>
          <w:color w:val="000000"/>
          <w:shd w:val="clear" w:color="auto" w:fill="FFFFFF"/>
        </w:rPr>
      </w:pPr>
      <w:bookmarkStart w:id="54" w:name="_Toc1566058"/>
      <w:bookmarkStart w:id="55" w:name="_Toc67983312"/>
      <w:r w:rsidRPr="004C3784">
        <w:rPr>
          <w:rStyle w:val="Heading2Char"/>
          <w:b/>
          <w:color w:val="auto"/>
        </w:rPr>
        <w:t>Definition</w:t>
      </w:r>
      <w:bookmarkEnd w:id="54"/>
      <w:r>
        <w:br/>
      </w:r>
      <w:r>
        <w:rPr>
          <w:color w:val="000000" w:themeColor="text1"/>
        </w:rPr>
        <w:t xml:space="preserve">Lit Fiber service over any type of transport medium to connect </w:t>
      </w:r>
      <w:r>
        <w:rPr>
          <w:rFonts w:cstheme="minorHAnsi"/>
          <w:b/>
          <w:bCs/>
          <w:color w:val="000000" w:themeColor="text1"/>
        </w:rPr>
        <w:t>Prospect Charter School</w:t>
      </w:r>
      <w:r>
        <w:rPr>
          <w:color w:val="000000" w:themeColor="text1"/>
        </w:rPr>
        <w:t xml:space="preserve"> located </w:t>
      </w:r>
      <w:r w:rsidRPr="004C3784">
        <w:rPr>
          <w:rFonts w:ascii="Segoe UI" w:eastAsia="Times New Roman" w:hAnsi="Segoe UI" w:cs="Segoe UI"/>
          <w:b/>
          <w:sz w:val="18"/>
          <w:szCs w:val="18"/>
        </w:rPr>
        <w:t>160 MILL CREEK DRIVE; PO BOX 40 PROSPECT, OR 97536</w:t>
      </w:r>
      <w:r w:rsidRPr="004C3784">
        <w:rPr>
          <w:b/>
          <w:color w:val="000000" w:themeColor="text1"/>
        </w:rPr>
        <w:t xml:space="preserve"> </w:t>
      </w:r>
      <w:r>
        <w:rPr>
          <w:color w:val="000000" w:themeColor="text1"/>
        </w:rPr>
        <w:t xml:space="preserve">to </w:t>
      </w:r>
      <w:r w:rsidRPr="004C3784">
        <w:rPr>
          <w:rStyle w:val="normaltextrun"/>
          <w:rFonts w:ascii="Calibri" w:hAnsi="Calibri" w:cs="Calibri"/>
          <w:color w:val="000000"/>
          <w:shd w:val="clear" w:color="auto" w:fill="FFFFFF"/>
        </w:rPr>
        <w:t xml:space="preserve">its ISP located at </w:t>
      </w:r>
      <w:r w:rsidRPr="004C3784">
        <w:rPr>
          <w:rStyle w:val="normaltextrun"/>
          <w:rFonts w:ascii="Calibri" w:hAnsi="Calibri" w:cs="Calibri"/>
          <w:b/>
          <w:color w:val="000000"/>
          <w:shd w:val="clear" w:color="auto" w:fill="FFFFFF"/>
        </w:rPr>
        <w:t>101 N Grape Street, Medford Oregon, 97501</w:t>
      </w:r>
    </w:p>
    <w:p w14:paraId="3F47434D" w14:textId="6A52897A" w:rsidR="004C3784" w:rsidRDefault="004C3784" w:rsidP="004C3784">
      <w:pPr>
        <w:rPr>
          <w:color w:val="FF0000"/>
        </w:rPr>
      </w:pPr>
      <w:r>
        <w:rPr>
          <w:color w:val="000000" w:themeColor="text1"/>
        </w:rPr>
        <w:t>Quotes will need to be provided for periods of 1, 3 and 5 years at the capacities listed in the line items portion of this RFP. Optional voluntary extensions of up to 3yrs must be clearly identified.</w:t>
      </w:r>
    </w:p>
    <w:p w14:paraId="64A6BA21" w14:textId="77777777" w:rsidR="006A232C" w:rsidRPr="0050412A" w:rsidRDefault="006A232C" w:rsidP="006A232C">
      <w:pPr>
        <w:pStyle w:val="paragraph"/>
        <w:spacing w:before="0" w:beforeAutospacing="0" w:after="0" w:afterAutospacing="0"/>
        <w:textAlignment w:val="baseline"/>
        <w:rPr>
          <w:rFonts w:ascii="Segoe UI" w:hAnsi="Segoe UI" w:cs="Segoe UI"/>
          <w:sz w:val="18"/>
          <w:szCs w:val="18"/>
        </w:rPr>
      </w:pPr>
    </w:p>
    <w:p w14:paraId="6FC7320A" w14:textId="77777777" w:rsidR="00F073BC" w:rsidRPr="0050412A" w:rsidRDefault="00F073BC" w:rsidP="00F073BC">
      <w:pPr>
        <w:pStyle w:val="Heading2"/>
        <w:rPr>
          <w:b/>
          <w:color w:val="auto"/>
        </w:rPr>
      </w:pPr>
      <w:r w:rsidRPr="0050412A">
        <w:rPr>
          <w:b/>
          <w:color w:val="auto"/>
        </w:rPr>
        <w:t>Line Items</w:t>
      </w:r>
      <w:bookmarkEnd w:id="55"/>
    </w:p>
    <w:tbl>
      <w:tblPr>
        <w:tblStyle w:val="TableGrid"/>
        <w:tblW w:w="0" w:type="auto"/>
        <w:tblLook w:val="04A0" w:firstRow="1" w:lastRow="0" w:firstColumn="1" w:lastColumn="0" w:noHBand="0" w:noVBand="1"/>
      </w:tblPr>
      <w:tblGrid>
        <w:gridCol w:w="440"/>
        <w:gridCol w:w="2229"/>
        <w:gridCol w:w="1205"/>
        <w:gridCol w:w="1161"/>
        <w:gridCol w:w="4315"/>
      </w:tblGrid>
      <w:tr w:rsidR="004C3784" w14:paraId="5A6F4E0F" w14:textId="77777777" w:rsidTr="004C3784">
        <w:tc>
          <w:tcPr>
            <w:tcW w:w="44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771802A" w14:textId="77777777" w:rsidR="004C3784" w:rsidRDefault="004C3784">
            <w:pPr>
              <w:rPr>
                <w:rFonts w:cstheme="minorHAnsi"/>
                <w:b/>
                <w:color w:val="FFFFFF" w:themeColor="background1"/>
              </w:rPr>
            </w:pPr>
            <w:bookmarkStart w:id="56" w:name="_Toc67983313"/>
            <w:r>
              <w:rPr>
                <w:rFonts w:cstheme="minorHAnsi"/>
                <w:b/>
                <w:color w:val="FFFFFF" w:themeColor="background1"/>
              </w:rPr>
              <w:t>#</w:t>
            </w:r>
          </w:p>
        </w:tc>
        <w:tc>
          <w:tcPr>
            <w:tcW w:w="222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84EC431" w14:textId="77777777" w:rsidR="004C3784" w:rsidRDefault="004C3784">
            <w:pPr>
              <w:rPr>
                <w:rFonts w:cstheme="minorHAnsi"/>
                <w:b/>
                <w:color w:val="FFFFFF" w:themeColor="background1"/>
              </w:rPr>
            </w:pPr>
            <w:r>
              <w:rPr>
                <w:rFonts w:cstheme="minorHAnsi"/>
                <w:b/>
                <w:color w:val="FFFFFF" w:themeColor="background1"/>
              </w:rPr>
              <w:t>Item</w:t>
            </w:r>
          </w:p>
        </w:tc>
        <w:tc>
          <w:tcPr>
            <w:tcW w:w="120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C96C3B" w14:textId="77777777" w:rsidR="004C3784" w:rsidRDefault="004C3784">
            <w:pPr>
              <w:rPr>
                <w:rFonts w:cstheme="minorHAnsi"/>
                <w:b/>
                <w:color w:val="FFFFFF" w:themeColor="background1"/>
              </w:rPr>
            </w:pPr>
            <w:r>
              <w:rPr>
                <w:rFonts w:cstheme="minorHAnsi"/>
                <w:b/>
                <w:color w:val="FFFFFF" w:themeColor="background1"/>
              </w:rPr>
              <w:t>Capacity</w:t>
            </w:r>
          </w:p>
        </w:tc>
        <w:tc>
          <w:tcPr>
            <w:tcW w:w="1161"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A4A0ADF" w14:textId="77777777" w:rsidR="004C3784" w:rsidRDefault="004C3784">
            <w:pPr>
              <w:rPr>
                <w:rFonts w:cstheme="minorHAnsi"/>
                <w:b/>
                <w:color w:val="FFFFFF" w:themeColor="background1"/>
              </w:rPr>
            </w:pPr>
            <w:r>
              <w:rPr>
                <w:rFonts w:cstheme="minorHAnsi"/>
                <w:b/>
                <w:color w:val="FFFFFF" w:themeColor="background1"/>
              </w:rPr>
              <w:t>Unit</w:t>
            </w:r>
          </w:p>
        </w:tc>
        <w:tc>
          <w:tcPr>
            <w:tcW w:w="431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9EBE9A6" w14:textId="78D8A8B6" w:rsidR="004C3784" w:rsidRDefault="004C3784">
            <w:pPr>
              <w:rPr>
                <w:rFonts w:cstheme="minorHAnsi"/>
                <w:b/>
                <w:color w:val="FFFFFF" w:themeColor="background1"/>
              </w:rPr>
            </w:pPr>
            <w:r>
              <w:rPr>
                <w:rFonts w:cstheme="minorHAnsi"/>
                <w:b/>
                <w:color w:val="FFFFFF" w:themeColor="background1"/>
              </w:rPr>
              <w:t>Locations</w:t>
            </w:r>
          </w:p>
        </w:tc>
      </w:tr>
      <w:tr w:rsidR="00D71BF9" w14:paraId="4F9A3B58" w14:textId="77777777" w:rsidTr="004C3784">
        <w:tc>
          <w:tcPr>
            <w:tcW w:w="440" w:type="dxa"/>
            <w:tcBorders>
              <w:top w:val="single" w:sz="4" w:space="0" w:color="auto"/>
              <w:left w:val="single" w:sz="4" w:space="0" w:color="auto"/>
              <w:bottom w:val="single" w:sz="4" w:space="0" w:color="auto"/>
              <w:right w:val="single" w:sz="4" w:space="0" w:color="auto"/>
            </w:tcBorders>
            <w:hideMark/>
          </w:tcPr>
          <w:p w14:paraId="7B127D99" w14:textId="5241DF90" w:rsidR="00D71BF9" w:rsidRDefault="00D71BF9">
            <w:pPr>
              <w:rPr>
                <w:rFonts w:cstheme="minorHAnsi"/>
                <w:b/>
              </w:rPr>
            </w:pPr>
            <w:r>
              <w:rPr>
                <w:rFonts w:cstheme="minorHAnsi"/>
                <w:b/>
              </w:rPr>
              <w:t>1</w:t>
            </w:r>
          </w:p>
        </w:tc>
        <w:tc>
          <w:tcPr>
            <w:tcW w:w="2229" w:type="dxa"/>
            <w:tcBorders>
              <w:top w:val="single" w:sz="4" w:space="0" w:color="auto"/>
              <w:left w:val="single" w:sz="4" w:space="0" w:color="auto"/>
              <w:bottom w:val="single" w:sz="4" w:space="0" w:color="auto"/>
              <w:right w:val="single" w:sz="4" w:space="0" w:color="auto"/>
            </w:tcBorders>
            <w:hideMark/>
          </w:tcPr>
          <w:p w14:paraId="0F6942DB" w14:textId="7506F997" w:rsidR="00D71BF9" w:rsidRDefault="00D71BF9">
            <w:pPr>
              <w:rPr>
                <w:rFonts w:cstheme="minorHAnsi"/>
              </w:rPr>
            </w:pPr>
            <w:r>
              <w:t>Lit Fiber transport service</w:t>
            </w:r>
          </w:p>
        </w:tc>
        <w:tc>
          <w:tcPr>
            <w:tcW w:w="1205" w:type="dxa"/>
            <w:tcBorders>
              <w:top w:val="single" w:sz="4" w:space="0" w:color="auto"/>
              <w:left w:val="single" w:sz="4" w:space="0" w:color="auto"/>
              <w:bottom w:val="single" w:sz="4" w:space="0" w:color="auto"/>
              <w:right w:val="single" w:sz="4" w:space="0" w:color="auto"/>
            </w:tcBorders>
            <w:hideMark/>
          </w:tcPr>
          <w:p w14:paraId="5436912B" w14:textId="1168A170" w:rsidR="00D71BF9" w:rsidRDefault="00D71BF9">
            <w:pPr>
              <w:rPr>
                <w:rFonts w:cstheme="minorHAnsi"/>
              </w:rPr>
            </w:pPr>
            <w:r>
              <w:rPr>
                <w:rFonts w:cstheme="minorHAnsi"/>
              </w:rPr>
              <w:t>1</w:t>
            </w:r>
          </w:p>
        </w:tc>
        <w:tc>
          <w:tcPr>
            <w:tcW w:w="1161" w:type="dxa"/>
            <w:tcBorders>
              <w:top w:val="single" w:sz="4" w:space="0" w:color="auto"/>
              <w:left w:val="single" w:sz="4" w:space="0" w:color="auto"/>
              <w:bottom w:val="single" w:sz="4" w:space="0" w:color="auto"/>
              <w:right w:val="single" w:sz="4" w:space="0" w:color="auto"/>
            </w:tcBorders>
            <w:hideMark/>
          </w:tcPr>
          <w:p w14:paraId="4C6BEEA5" w14:textId="5D62BB5E" w:rsidR="00D71BF9" w:rsidRDefault="00D71BF9">
            <w:pPr>
              <w:rPr>
                <w:rFonts w:cstheme="minorHAnsi"/>
              </w:rPr>
            </w:pPr>
            <w:r>
              <w:rPr>
                <w:rFonts w:cstheme="minorHAnsi"/>
              </w:rPr>
              <w:t>Gbps</w:t>
            </w:r>
          </w:p>
        </w:tc>
        <w:tc>
          <w:tcPr>
            <w:tcW w:w="4315" w:type="dxa"/>
            <w:vMerge w:val="restart"/>
            <w:tcBorders>
              <w:top w:val="single" w:sz="4" w:space="0" w:color="auto"/>
              <w:left w:val="single" w:sz="4" w:space="0" w:color="auto"/>
              <w:right w:val="single" w:sz="4" w:space="0" w:color="auto"/>
            </w:tcBorders>
            <w:hideMark/>
          </w:tcPr>
          <w:p w14:paraId="7E0769E2" w14:textId="77777777" w:rsidR="00D71BF9" w:rsidRDefault="00D71BF9" w:rsidP="001E73C6">
            <w:pPr>
              <w:rPr>
                <w:rFonts w:cstheme="minorHAnsi"/>
                <w:bCs/>
                <w:color w:val="000000" w:themeColor="text1"/>
              </w:rPr>
            </w:pPr>
            <w:r w:rsidRPr="004C3784">
              <w:rPr>
                <w:rFonts w:cstheme="minorHAnsi"/>
                <w:b/>
                <w:bCs/>
                <w:color w:val="000000" w:themeColor="text1"/>
              </w:rPr>
              <w:t>Location A:</w:t>
            </w:r>
            <w:r>
              <w:rPr>
                <w:rFonts w:cstheme="minorHAnsi"/>
                <w:bCs/>
                <w:color w:val="000000" w:themeColor="text1"/>
              </w:rPr>
              <w:t xml:space="preserve"> Prospect Charter School </w:t>
            </w:r>
            <w:r w:rsidRPr="004C3784">
              <w:rPr>
                <w:rFonts w:cstheme="minorHAnsi"/>
                <w:bCs/>
                <w:color w:val="000000" w:themeColor="text1"/>
              </w:rPr>
              <w:t>160 MILL CREEK DRIVE; PO BOX 40 PROSPECT, OR 97536</w:t>
            </w:r>
          </w:p>
          <w:p w14:paraId="33B455B9" w14:textId="77777777" w:rsidR="00D71BF9" w:rsidRDefault="00D71BF9" w:rsidP="001E73C6">
            <w:pPr>
              <w:rPr>
                <w:rFonts w:cstheme="minorHAnsi"/>
                <w:bCs/>
                <w:color w:val="000000" w:themeColor="text1"/>
              </w:rPr>
            </w:pPr>
          </w:p>
          <w:p w14:paraId="5AEDA79E" w14:textId="77777777" w:rsidR="00D71BF9" w:rsidRPr="004C3784" w:rsidRDefault="00D71BF9" w:rsidP="004C3784">
            <w:pPr>
              <w:rPr>
                <w:rStyle w:val="normaltextrun"/>
                <w:rFonts w:ascii="Calibri" w:hAnsi="Calibri" w:cs="Calibri"/>
                <w:color w:val="000000"/>
                <w:shd w:val="clear" w:color="auto" w:fill="FFFFFF"/>
              </w:rPr>
            </w:pPr>
            <w:r w:rsidRPr="004C3784">
              <w:rPr>
                <w:rFonts w:cstheme="minorHAnsi"/>
                <w:b/>
                <w:bCs/>
                <w:color w:val="000000" w:themeColor="text1"/>
              </w:rPr>
              <w:t>Location B:</w:t>
            </w:r>
            <w:r>
              <w:rPr>
                <w:rFonts w:cstheme="minorHAnsi"/>
                <w:b/>
                <w:bCs/>
                <w:color w:val="000000" w:themeColor="text1"/>
              </w:rPr>
              <w:t xml:space="preserve"> </w:t>
            </w:r>
            <w:r w:rsidRPr="004C3784">
              <w:rPr>
                <w:rStyle w:val="normaltextrun"/>
                <w:rFonts w:ascii="Calibri" w:hAnsi="Calibri" w:cs="Calibri"/>
                <w:color w:val="000000"/>
                <w:shd w:val="clear" w:color="auto" w:fill="FFFFFF"/>
              </w:rPr>
              <w:t>101 N Grape Street, Medford Oregon, 97501</w:t>
            </w:r>
          </w:p>
          <w:p w14:paraId="4D0B8FD8" w14:textId="4B923A31" w:rsidR="00D71BF9" w:rsidRPr="004C3784" w:rsidRDefault="00D71BF9" w:rsidP="001E73C6">
            <w:pPr>
              <w:rPr>
                <w:rFonts w:cstheme="minorHAnsi"/>
                <w:bCs/>
                <w:color w:val="000000" w:themeColor="text1"/>
              </w:rPr>
            </w:pPr>
          </w:p>
        </w:tc>
      </w:tr>
      <w:tr w:rsidR="00D71BF9" w14:paraId="65BB5494" w14:textId="77777777" w:rsidTr="004C3784">
        <w:tc>
          <w:tcPr>
            <w:tcW w:w="440" w:type="dxa"/>
            <w:tcBorders>
              <w:top w:val="single" w:sz="4" w:space="0" w:color="auto"/>
              <w:left w:val="single" w:sz="4" w:space="0" w:color="auto"/>
              <w:bottom w:val="single" w:sz="4" w:space="0" w:color="auto"/>
              <w:right w:val="single" w:sz="4" w:space="0" w:color="auto"/>
            </w:tcBorders>
            <w:hideMark/>
          </w:tcPr>
          <w:p w14:paraId="6AE36BB1" w14:textId="2B29D801" w:rsidR="00D71BF9" w:rsidRDefault="00D71BF9">
            <w:pPr>
              <w:rPr>
                <w:rFonts w:cstheme="minorHAnsi"/>
                <w:b/>
              </w:rPr>
            </w:pPr>
            <w:r>
              <w:rPr>
                <w:rFonts w:cstheme="minorHAnsi"/>
                <w:b/>
              </w:rPr>
              <w:t>2</w:t>
            </w:r>
          </w:p>
        </w:tc>
        <w:tc>
          <w:tcPr>
            <w:tcW w:w="2229" w:type="dxa"/>
            <w:tcBorders>
              <w:top w:val="single" w:sz="4" w:space="0" w:color="auto"/>
              <w:left w:val="single" w:sz="4" w:space="0" w:color="auto"/>
              <w:bottom w:val="single" w:sz="4" w:space="0" w:color="auto"/>
              <w:right w:val="single" w:sz="4" w:space="0" w:color="auto"/>
            </w:tcBorders>
            <w:hideMark/>
          </w:tcPr>
          <w:p w14:paraId="31A76581" w14:textId="668DB4EB" w:rsidR="00D71BF9" w:rsidRDefault="00D71BF9">
            <w:pPr>
              <w:rPr>
                <w:rFonts w:cstheme="minorHAnsi"/>
              </w:rPr>
            </w:pPr>
            <w:r>
              <w:t>Lit Fiber transport service</w:t>
            </w:r>
          </w:p>
        </w:tc>
        <w:tc>
          <w:tcPr>
            <w:tcW w:w="1205" w:type="dxa"/>
            <w:tcBorders>
              <w:top w:val="single" w:sz="4" w:space="0" w:color="auto"/>
              <w:left w:val="single" w:sz="4" w:space="0" w:color="auto"/>
              <w:bottom w:val="single" w:sz="4" w:space="0" w:color="auto"/>
              <w:right w:val="single" w:sz="4" w:space="0" w:color="auto"/>
            </w:tcBorders>
            <w:hideMark/>
          </w:tcPr>
          <w:p w14:paraId="7DEDD79B" w14:textId="103F8760" w:rsidR="00D71BF9" w:rsidRDefault="00D71BF9">
            <w:pPr>
              <w:rPr>
                <w:rFonts w:cstheme="minorHAnsi"/>
              </w:rPr>
            </w:pPr>
            <w:r>
              <w:rPr>
                <w:rFonts w:cstheme="minorHAnsi"/>
              </w:rPr>
              <w:t>5</w:t>
            </w:r>
          </w:p>
        </w:tc>
        <w:tc>
          <w:tcPr>
            <w:tcW w:w="1161" w:type="dxa"/>
            <w:tcBorders>
              <w:top w:val="single" w:sz="4" w:space="0" w:color="auto"/>
              <w:left w:val="single" w:sz="4" w:space="0" w:color="auto"/>
              <w:bottom w:val="single" w:sz="4" w:space="0" w:color="auto"/>
              <w:right w:val="single" w:sz="4" w:space="0" w:color="auto"/>
            </w:tcBorders>
            <w:hideMark/>
          </w:tcPr>
          <w:p w14:paraId="28755C08" w14:textId="5AAA4C67" w:rsidR="00D71BF9" w:rsidRDefault="00D71BF9">
            <w:pPr>
              <w:rPr>
                <w:rFonts w:cstheme="minorHAnsi"/>
              </w:rPr>
            </w:pPr>
            <w:r>
              <w:rPr>
                <w:rFonts w:cstheme="minorHAnsi"/>
              </w:rPr>
              <w:t>Gbps</w:t>
            </w:r>
          </w:p>
        </w:tc>
        <w:tc>
          <w:tcPr>
            <w:tcW w:w="4315" w:type="dxa"/>
            <w:vMerge/>
            <w:tcBorders>
              <w:left w:val="single" w:sz="4" w:space="0" w:color="auto"/>
              <w:right w:val="single" w:sz="4" w:space="0" w:color="auto"/>
            </w:tcBorders>
            <w:hideMark/>
          </w:tcPr>
          <w:p w14:paraId="0FC723F6" w14:textId="7E5626CE" w:rsidR="00D71BF9" w:rsidRDefault="00D71BF9" w:rsidP="001E73C6">
            <w:pPr>
              <w:rPr>
                <w:rFonts w:cstheme="minorHAnsi"/>
                <w:bCs/>
                <w:color w:val="000000" w:themeColor="text1"/>
              </w:rPr>
            </w:pPr>
          </w:p>
        </w:tc>
      </w:tr>
      <w:tr w:rsidR="00D71BF9" w14:paraId="59E18F0D" w14:textId="77777777" w:rsidTr="005777D4">
        <w:tc>
          <w:tcPr>
            <w:tcW w:w="440" w:type="dxa"/>
            <w:tcBorders>
              <w:top w:val="single" w:sz="4" w:space="0" w:color="auto"/>
              <w:left w:val="single" w:sz="4" w:space="0" w:color="auto"/>
              <w:bottom w:val="single" w:sz="4" w:space="0" w:color="auto"/>
              <w:right w:val="single" w:sz="4" w:space="0" w:color="auto"/>
            </w:tcBorders>
          </w:tcPr>
          <w:p w14:paraId="5EA8A527" w14:textId="7F50767A" w:rsidR="00D71BF9" w:rsidRDefault="00D71BF9">
            <w:pPr>
              <w:rPr>
                <w:rFonts w:cstheme="minorHAnsi"/>
                <w:b/>
              </w:rPr>
            </w:pPr>
            <w:r>
              <w:rPr>
                <w:rFonts w:cstheme="minorHAnsi"/>
                <w:b/>
              </w:rPr>
              <w:t>3</w:t>
            </w:r>
          </w:p>
        </w:tc>
        <w:tc>
          <w:tcPr>
            <w:tcW w:w="2229" w:type="dxa"/>
            <w:tcBorders>
              <w:top w:val="single" w:sz="4" w:space="0" w:color="auto"/>
              <w:left w:val="single" w:sz="4" w:space="0" w:color="auto"/>
              <w:bottom w:val="single" w:sz="4" w:space="0" w:color="auto"/>
              <w:right w:val="single" w:sz="4" w:space="0" w:color="auto"/>
            </w:tcBorders>
          </w:tcPr>
          <w:p w14:paraId="06D4BEE2" w14:textId="47B66DB4" w:rsidR="00D71BF9" w:rsidRDefault="00D71BF9">
            <w:pPr>
              <w:rPr>
                <w:rFonts w:cstheme="minorHAnsi"/>
              </w:rPr>
            </w:pPr>
            <w:r>
              <w:t>Lit Fiber transport service</w:t>
            </w:r>
          </w:p>
        </w:tc>
        <w:tc>
          <w:tcPr>
            <w:tcW w:w="1205" w:type="dxa"/>
            <w:tcBorders>
              <w:top w:val="single" w:sz="4" w:space="0" w:color="auto"/>
              <w:left w:val="single" w:sz="4" w:space="0" w:color="auto"/>
              <w:bottom w:val="single" w:sz="4" w:space="0" w:color="auto"/>
              <w:right w:val="single" w:sz="4" w:space="0" w:color="auto"/>
            </w:tcBorders>
          </w:tcPr>
          <w:p w14:paraId="2AABA54A" w14:textId="33AD6CEC" w:rsidR="00D71BF9" w:rsidRDefault="00D71BF9">
            <w:pPr>
              <w:rPr>
                <w:rFonts w:cstheme="minorHAnsi"/>
              </w:rPr>
            </w:pPr>
            <w:r>
              <w:rPr>
                <w:rFonts w:cstheme="minorHAnsi"/>
              </w:rPr>
              <w:t>10</w:t>
            </w:r>
          </w:p>
        </w:tc>
        <w:tc>
          <w:tcPr>
            <w:tcW w:w="1161" w:type="dxa"/>
            <w:tcBorders>
              <w:top w:val="single" w:sz="4" w:space="0" w:color="auto"/>
              <w:left w:val="single" w:sz="4" w:space="0" w:color="auto"/>
              <w:bottom w:val="single" w:sz="4" w:space="0" w:color="auto"/>
              <w:right w:val="single" w:sz="4" w:space="0" w:color="auto"/>
            </w:tcBorders>
          </w:tcPr>
          <w:p w14:paraId="15F0E2C6" w14:textId="0A875B22" w:rsidR="00D71BF9" w:rsidRDefault="00D71BF9">
            <w:pPr>
              <w:rPr>
                <w:rFonts w:cstheme="minorHAnsi"/>
              </w:rPr>
            </w:pPr>
            <w:r>
              <w:rPr>
                <w:rFonts w:cstheme="minorHAnsi"/>
              </w:rPr>
              <w:t>Gbps</w:t>
            </w:r>
          </w:p>
        </w:tc>
        <w:tc>
          <w:tcPr>
            <w:tcW w:w="4315" w:type="dxa"/>
            <w:vMerge/>
            <w:tcBorders>
              <w:left w:val="single" w:sz="4" w:space="0" w:color="auto"/>
              <w:right w:val="single" w:sz="4" w:space="0" w:color="auto"/>
            </w:tcBorders>
            <w:hideMark/>
          </w:tcPr>
          <w:p w14:paraId="747C2698" w14:textId="70280DAD" w:rsidR="00D71BF9" w:rsidRDefault="00D71BF9" w:rsidP="001E73C6">
            <w:pPr>
              <w:rPr>
                <w:rFonts w:cstheme="minorHAnsi"/>
                <w:bCs/>
                <w:color w:val="000000" w:themeColor="text1"/>
              </w:rPr>
            </w:pPr>
          </w:p>
        </w:tc>
      </w:tr>
    </w:tbl>
    <w:p w14:paraId="6116FCE4" w14:textId="77777777" w:rsidR="0050412A" w:rsidRDefault="0050412A" w:rsidP="00C84039">
      <w:pPr>
        <w:pStyle w:val="Heading1"/>
      </w:pPr>
      <w:bookmarkStart w:id="57" w:name="_GoBack"/>
      <w:bookmarkEnd w:id="57"/>
    </w:p>
    <w:p w14:paraId="2D46BDA8" w14:textId="77777777" w:rsidR="0050412A" w:rsidRDefault="0050412A" w:rsidP="00C84039">
      <w:pPr>
        <w:pStyle w:val="Heading1"/>
      </w:pPr>
    </w:p>
    <w:p w14:paraId="3B52C8E4" w14:textId="49F09311" w:rsidR="00801098" w:rsidRPr="002B6C40" w:rsidRDefault="00801098" w:rsidP="00C84039">
      <w:pPr>
        <w:pStyle w:val="Heading1"/>
      </w:pPr>
      <w:r w:rsidRPr="0050412A">
        <w:t>PROPOSER INFORMATION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6C49A127" w:rsidR="00801098"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5FB83CA4" w14:textId="77777777" w:rsidR="004C3784" w:rsidRPr="004C3784" w:rsidRDefault="004C3784" w:rsidP="004C3784"/>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4253" w14:textId="77777777" w:rsidR="00481A9C" w:rsidRDefault="00481A9C" w:rsidP="00DC42D7">
      <w:pPr>
        <w:spacing w:after="0" w:line="240" w:lineRule="auto"/>
      </w:pPr>
      <w:r>
        <w:separator/>
      </w:r>
    </w:p>
  </w:endnote>
  <w:endnote w:type="continuationSeparator" w:id="0">
    <w:p w14:paraId="6C60EB2E" w14:textId="77777777" w:rsidR="00481A9C" w:rsidRDefault="00481A9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FEF1" w14:textId="77777777" w:rsidR="00481A9C" w:rsidRDefault="00481A9C" w:rsidP="00DC42D7">
      <w:pPr>
        <w:spacing w:after="0" w:line="240" w:lineRule="auto"/>
      </w:pPr>
      <w:r>
        <w:separator/>
      </w:r>
    </w:p>
  </w:footnote>
  <w:footnote w:type="continuationSeparator" w:id="0">
    <w:p w14:paraId="03DE83D3" w14:textId="77777777" w:rsidR="00481A9C" w:rsidRDefault="00481A9C"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190C6D8C" w:rsidR="00BF4A78" w:rsidRDefault="00481A9C">
    <w:pPr>
      <w:pStyle w:val="Header"/>
    </w:pPr>
    <w:sdt>
      <w:sdtPr>
        <w:alias w:val="District"/>
        <w:tag w:val="District"/>
        <w:id w:val="-568959399"/>
        <w:placeholder>
          <w:docPart w:val="DefaultPlaceholder_1081868574"/>
        </w:placeholder>
        <w15:color w:val="000000"/>
        <w:text/>
      </w:sdtPr>
      <w:sdtEndPr/>
      <w:sdtContent>
        <w:r w:rsidR="002979A6">
          <w:t>Prospect</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2979A6" w:rsidRPr="002979A6">
          <w:rPr>
            <w:color w:val="808080"/>
          </w:rPr>
          <w:t>PRO-FY2023-</w:t>
        </w:r>
        <w:r w:rsidR="004C3784">
          <w:rPr>
            <w:color w:val="808080"/>
          </w:rPr>
          <w:t>C1-LF</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D34AA"/>
    <w:rsid w:val="00115C60"/>
    <w:rsid w:val="00160B0A"/>
    <w:rsid w:val="00165FB5"/>
    <w:rsid w:val="00176677"/>
    <w:rsid w:val="0018324E"/>
    <w:rsid w:val="001A20E9"/>
    <w:rsid w:val="001B1870"/>
    <w:rsid w:val="001C20D6"/>
    <w:rsid w:val="001D5722"/>
    <w:rsid w:val="002979A6"/>
    <w:rsid w:val="002A1D6F"/>
    <w:rsid w:val="002B0D13"/>
    <w:rsid w:val="002B6C40"/>
    <w:rsid w:val="002D2297"/>
    <w:rsid w:val="002F165B"/>
    <w:rsid w:val="002F572E"/>
    <w:rsid w:val="003153A7"/>
    <w:rsid w:val="00363BDB"/>
    <w:rsid w:val="00415776"/>
    <w:rsid w:val="0042079A"/>
    <w:rsid w:val="00481A9C"/>
    <w:rsid w:val="004A0F84"/>
    <w:rsid w:val="004A41C5"/>
    <w:rsid w:val="004C3784"/>
    <w:rsid w:val="0050412A"/>
    <w:rsid w:val="005069A6"/>
    <w:rsid w:val="00543B20"/>
    <w:rsid w:val="00566D0D"/>
    <w:rsid w:val="005A4BAD"/>
    <w:rsid w:val="005D7CDE"/>
    <w:rsid w:val="005E769F"/>
    <w:rsid w:val="006261D3"/>
    <w:rsid w:val="006512EC"/>
    <w:rsid w:val="006A232C"/>
    <w:rsid w:val="006A395E"/>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52184"/>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B6013"/>
    <w:rsid w:val="00CC3D84"/>
    <w:rsid w:val="00CC5B6D"/>
    <w:rsid w:val="00CD1177"/>
    <w:rsid w:val="00CE4EAE"/>
    <w:rsid w:val="00D35B13"/>
    <w:rsid w:val="00D52334"/>
    <w:rsid w:val="00D71BF9"/>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7004"/>
    <w:rsid w:val="00FA61AC"/>
    <w:rsid w:val="00FC2C15"/>
    <w:rsid w:val="00FE59C4"/>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081633903">
      <w:bodyDiv w:val="1"/>
      <w:marLeft w:val="0"/>
      <w:marRight w:val="0"/>
      <w:marTop w:val="0"/>
      <w:marBottom w:val="0"/>
      <w:divBdr>
        <w:top w:val="none" w:sz="0" w:space="0" w:color="auto"/>
        <w:left w:val="none" w:sz="0" w:space="0" w:color="auto"/>
        <w:bottom w:val="none" w:sz="0" w:space="0" w:color="auto"/>
        <w:right w:val="none" w:sz="0" w:space="0" w:color="auto"/>
      </w:divBdr>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2A5ADF"/>
    <w:rsid w:val="002F4627"/>
    <w:rsid w:val="00315334"/>
    <w:rsid w:val="003A2EB7"/>
    <w:rsid w:val="003D3609"/>
    <w:rsid w:val="004122B1"/>
    <w:rsid w:val="00415776"/>
    <w:rsid w:val="00486815"/>
    <w:rsid w:val="00736BF8"/>
    <w:rsid w:val="0088601F"/>
    <w:rsid w:val="008F7034"/>
    <w:rsid w:val="009344D1"/>
    <w:rsid w:val="009C4927"/>
    <w:rsid w:val="00A1700A"/>
    <w:rsid w:val="00C9391D"/>
    <w:rsid w:val="00CB0B54"/>
    <w:rsid w:val="00E612D9"/>
    <w:rsid w:val="00EA77DD"/>
    <w:rsid w:val="00F62644"/>
    <w:rsid w:val="00FB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7DD"/>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9FB890F09534A25B290AAAD058AF759">
    <w:name w:val="E9FB890F09534A25B290AAAD058AF759"/>
    <w:rsid w:val="00EA77DD"/>
  </w:style>
  <w:style w:type="paragraph" w:customStyle="1" w:styleId="1A0A4364C6B3426194DA89683432E9A6">
    <w:name w:val="1A0A4364C6B3426194DA89683432E9A6"/>
    <w:rsid w:val="00EA7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9815D-C36F-4BFD-99B5-D1C0D878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4</cp:revision>
  <dcterms:created xsi:type="dcterms:W3CDTF">2023-01-26T01:39:00Z</dcterms:created>
  <dcterms:modified xsi:type="dcterms:W3CDTF">2023-01-26T16:25:00Z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